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798AF">
      <w:pPr>
        <w:spacing w:line="248" w:lineRule="auto"/>
        <w:rPr>
          <w:rFonts w:ascii="宋体"/>
        </w:rPr>
      </w:pPr>
    </w:p>
    <w:p w14:paraId="6966FB0A">
      <w:pPr>
        <w:spacing w:line="248" w:lineRule="auto"/>
        <w:rPr>
          <w:rFonts w:ascii="宋体"/>
        </w:rPr>
      </w:pPr>
      <w:bookmarkStart w:id="0" w:name="_Toc28812"/>
    </w:p>
    <w:p w14:paraId="6D7F2753">
      <w:pPr>
        <w:spacing w:line="248" w:lineRule="auto"/>
        <w:rPr>
          <w:rFonts w:ascii="宋体"/>
        </w:rPr>
      </w:pPr>
    </w:p>
    <w:p w14:paraId="222F0598">
      <w:pPr>
        <w:jc w:val="center"/>
        <w:outlineLvl w:val="9"/>
        <w:rPr>
          <w:rFonts w:ascii="楷体" w:hAnsi="楷体" w:eastAsia="楷体" w:cs="楷体"/>
          <w:b/>
          <w:bCs/>
          <w:sz w:val="36"/>
          <w:szCs w:val="36"/>
        </w:rPr>
      </w:pPr>
      <w:bookmarkStart w:id="1" w:name="_Toc24848"/>
      <w:bookmarkStart w:id="2" w:name="_Toc16984"/>
      <w:r>
        <w:rPr>
          <w:rFonts w:ascii="楷体" w:hAnsi="楷体" w:eastAsia="楷体" w:cs="楷体"/>
          <w:b/>
          <w:bCs/>
          <w:sz w:val="36"/>
          <w:szCs w:val="36"/>
        </w:rPr>
        <w:t>比亚迪汽车线束生产线项目卫生间工程补助</w:t>
      </w:r>
      <w:bookmarkEnd w:id="1"/>
      <w:bookmarkEnd w:id="2"/>
    </w:p>
    <w:p w14:paraId="406BCA4C">
      <w:pPr>
        <w:spacing w:line="248" w:lineRule="auto"/>
        <w:outlineLvl w:val="9"/>
        <w:rPr>
          <w:rFonts w:ascii="宋体"/>
        </w:rPr>
      </w:pPr>
    </w:p>
    <w:p w14:paraId="0650F868">
      <w:pPr>
        <w:spacing w:line="248" w:lineRule="auto"/>
        <w:rPr>
          <w:rFonts w:ascii="宋体"/>
        </w:rPr>
      </w:pPr>
    </w:p>
    <w:p w14:paraId="0E63173D">
      <w:pPr>
        <w:spacing w:line="248" w:lineRule="auto"/>
        <w:rPr>
          <w:rFonts w:ascii="宋体"/>
        </w:rPr>
      </w:pPr>
    </w:p>
    <w:p w14:paraId="74E04A20">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5B84974A">
      <w:pPr>
        <w:spacing w:line="248" w:lineRule="auto"/>
        <w:rPr>
          <w:rFonts w:ascii="宋体"/>
        </w:rPr>
      </w:pPr>
    </w:p>
    <w:p w14:paraId="68AB759A">
      <w:pPr>
        <w:spacing w:line="248" w:lineRule="auto"/>
        <w:rPr>
          <w:rFonts w:ascii="宋体"/>
        </w:rPr>
      </w:pPr>
    </w:p>
    <w:p w14:paraId="47711FB1">
      <w:pPr>
        <w:spacing w:line="248" w:lineRule="auto"/>
        <w:rPr>
          <w:rFonts w:ascii="宋体"/>
        </w:rPr>
      </w:pPr>
    </w:p>
    <w:p w14:paraId="03BB60F2">
      <w:pPr>
        <w:spacing w:line="248" w:lineRule="auto"/>
        <w:jc w:val="left"/>
        <w:rPr>
          <w:rFonts w:ascii="宋体"/>
        </w:rPr>
      </w:pPr>
    </w:p>
    <w:p w14:paraId="4F817E87">
      <w:pPr>
        <w:spacing w:line="248" w:lineRule="auto"/>
        <w:jc w:val="left"/>
        <w:rPr>
          <w:rFonts w:ascii="宋体"/>
        </w:rPr>
      </w:pPr>
    </w:p>
    <w:p w14:paraId="325E95F4">
      <w:pPr>
        <w:spacing w:line="248" w:lineRule="auto"/>
        <w:jc w:val="left"/>
        <w:rPr>
          <w:rFonts w:ascii="宋体"/>
        </w:rPr>
      </w:pPr>
    </w:p>
    <w:p w14:paraId="19EDABCE">
      <w:pPr>
        <w:spacing w:line="248" w:lineRule="auto"/>
        <w:jc w:val="left"/>
        <w:rPr>
          <w:rFonts w:ascii="宋体"/>
        </w:rPr>
      </w:pPr>
    </w:p>
    <w:p w14:paraId="7511E455">
      <w:pPr>
        <w:spacing w:line="248" w:lineRule="auto"/>
        <w:jc w:val="left"/>
        <w:rPr>
          <w:rFonts w:ascii="宋体"/>
        </w:rPr>
      </w:pPr>
    </w:p>
    <w:p w14:paraId="543A6770">
      <w:pPr>
        <w:spacing w:line="248" w:lineRule="auto"/>
        <w:rPr>
          <w:rFonts w:ascii="宋体"/>
        </w:rPr>
      </w:pPr>
    </w:p>
    <w:p w14:paraId="5A8220DD">
      <w:pPr>
        <w:spacing w:line="248" w:lineRule="auto"/>
        <w:jc w:val="left"/>
        <w:rPr>
          <w:rFonts w:ascii="宋体"/>
        </w:rPr>
      </w:pPr>
    </w:p>
    <w:p w14:paraId="5FF108D3">
      <w:pPr>
        <w:spacing w:line="248" w:lineRule="auto"/>
        <w:jc w:val="left"/>
        <w:rPr>
          <w:rFonts w:ascii="宋体"/>
        </w:rPr>
      </w:pPr>
    </w:p>
    <w:p w14:paraId="246B689B">
      <w:pPr>
        <w:spacing w:line="248" w:lineRule="auto"/>
        <w:jc w:val="left"/>
        <w:rPr>
          <w:rFonts w:ascii="宋体"/>
        </w:rPr>
      </w:pPr>
    </w:p>
    <w:p w14:paraId="0C43A866">
      <w:pPr>
        <w:spacing w:line="248" w:lineRule="auto"/>
        <w:jc w:val="left"/>
        <w:rPr>
          <w:rFonts w:ascii="宋体"/>
        </w:rPr>
      </w:pPr>
    </w:p>
    <w:p w14:paraId="5CEFCCD1">
      <w:pPr>
        <w:spacing w:line="248" w:lineRule="auto"/>
        <w:jc w:val="left"/>
        <w:rPr>
          <w:rFonts w:ascii="宋体"/>
        </w:rPr>
      </w:pPr>
    </w:p>
    <w:p w14:paraId="4DA78281">
      <w:pPr>
        <w:spacing w:line="248" w:lineRule="auto"/>
        <w:jc w:val="left"/>
        <w:rPr>
          <w:rFonts w:ascii="宋体"/>
        </w:rPr>
      </w:pPr>
    </w:p>
    <w:p w14:paraId="69839C82">
      <w:pPr>
        <w:spacing w:line="248" w:lineRule="auto"/>
        <w:rPr>
          <w:rFonts w:ascii="宋体"/>
        </w:rPr>
      </w:pPr>
    </w:p>
    <w:p w14:paraId="66A53553">
      <w:pPr>
        <w:widowControl/>
        <w:spacing w:line="600" w:lineRule="exact"/>
        <w:ind w:firstLine="960"/>
        <w:jc w:val="left"/>
        <w:rPr>
          <w:rFonts w:ascii="仿宋" w:hAnsi="仿宋" w:eastAsia="仿宋" w:cs="仿宋"/>
          <w:sz w:val="32"/>
          <w:szCs w:val="32"/>
        </w:rPr>
      </w:pPr>
      <w:r>
        <w:rPr>
          <w:rFonts w:ascii="楷体" w:hAnsi="楷体" w:eastAsia="楷体" w:cs="楷体"/>
          <w:color w:val="000000"/>
          <w:sz w:val="32"/>
          <w:szCs w:val="32"/>
        </w:rPr>
        <w:t>主管部门：</w:t>
      </w:r>
      <w:r>
        <w:rPr>
          <w:rFonts w:hint="eastAsia" w:ascii="楷体" w:hAnsi="楷体" w:eastAsia="楷体" w:cs="楷体"/>
          <w:color w:val="000000"/>
          <w:sz w:val="32"/>
          <w:szCs w:val="32"/>
        </w:rPr>
        <w:t>扶风县新兴产业集聚服务中心</w:t>
      </w:r>
      <w:r>
        <w:rPr>
          <w:rFonts w:ascii="楷体" w:hAnsi="楷体" w:eastAsia="楷体" w:cs="楷体"/>
          <w:color w:val="000000"/>
          <w:sz w:val="32"/>
          <w:szCs w:val="32"/>
          <w:highlight w:val="none"/>
        </w:rPr>
        <w:t xml:space="preserve">  </w:t>
      </w:r>
      <w:r>
        <w:rPr>
          <w:rFonts w:ascii="楷体" w:hAnsi="楷体" w:eastAsia="楷体" w:cs="楷体"/>
          <w:color w:val="000000"/>
          <w:sz w:val="32"/>
          <w:szCs w:val="32"/>
        </w:rPr>
        <w:t xml:space="preserve">          </w:t>
      </w:r>
    </w:p>
    <w:p w14:paraId="138B20E8">
      <w:pPr>
        <w:widowControl/>
        <w:spacing w:line="600" w:lineRule="exact"/>
        <w:ind w:left="2558" w:hanging="1600"/>
        <w:jc w:val="left"/>
        <w:rPr>
          <w:rFonts w:ascii="仿宋" w:hAnsi="仿宋" w:eastAsia="仿宋" w:cs="仿宋"/>
          <w:sz w:val="32"/>
          <w:szCs w:val="32"/>
        </w:rPr>
      </w:pPr>
      <w:r>
        <w:rPr>
          <w:rFonts w:hint="eastAsia" w:ascii="楷体" w:hAnsi="楷体" w:eastAsia="楷体" w:cs="楷体"/>
          <w:color w:val="000000"/>
          <w:sz w:val="32"/>
          <w:szCs w:val="32"/>
        </w:rPr>
        <w:t xml:space="preserve">项目单位：扶风县新兴产业集聚服务中心            </w:t>
      </w:r>
    </w:p>
    <w:p w14:paraId="699B4C96">
      <w:pPr>
        <w:widowControl/>
        <w:spacing w:line="600" w:lineRule="exact"/>
        <w:ind w:firstLine="960"/>
        <w:rPr>
          <w:rFonts w:ascii="楷体" w:hAnsi="楷体" w:eastAsia="楷体" w:cs="楷体"/>
          <w:color w:val="000000"/>
          <w:sz w:val="32"/>
          <w:szCs w:val="32"/>
          <w:u w:val="single"/>
        </w:rPr>
      </w:pPr>
      <w:r>
        <w:rPr>
          <w:rFonts w:hint="eastAsia" w:ascii="楷体" w:hAnsi="楷体" w:eastAsia="楷体" w:cs="楷体"/>
          <w:color w:val="000000"/>
          <w:kern w:val="0"/>
          <w:sz w:val="32"/>
          <w:szCs w:val="32"/>
        </w:rPr>
        <w:t>评价</w:t>
      </w:r>
      <w:r>
        <w:rPr>
          <w:rFonts w:hint="eastAsia" w:ascii="楷体" w:hAnsi="楷体" w:eastAsia="楷体" w:cs="楷体"/>
          <w:color w:val="000000"/>
          <w:sz w:val="32"/>
          <w:szCs w:val="32"/>
        </w:rPr>
        <w:t xml:space="preserve">单位：扶风县财政局                      </w:t>
      </w:r>
    </w:p>
    <w:p w14:paraId="38B70F8C">
      <w:pPr>
        <w:widowControl/>
        <w:spacing w:line="600" w:lineRule="exact"/>
        <w:ind w:firstLine="96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w:t>
      </w:r>
      <w:r>
        <w:rPr>
          <w:rFonts w:hint="eastAsia" w:ascii="楷体" w:hAnsi="楷体" w:eastAsia="楷体" w:cs="楷体"/>
          <w:color w:val="000000"/>
          <w:sz w:val="32"/>
          <w:szCs w:val="32"/>
        </w:rPr>
        <w:t>日期：2024</w:t>
      </w:r>
      <w:r>
        <w:rPr>
          <w:rFonts w:hint="eastAsia" w:ascii="楷体" w:hAnsi="楷体" w:eastAsia="楷体" w:cs="楷体"/>
          <w:color w:val="000000"/>
          <w:sz w:val="32"/>
          <w:szCs w:val="32"/>
          <w:lang w:val="en-US" w:eastAsia="zh-CN"/>
        </w:rPr>
        <w:t>年</w:t>
      </w:r>
      <w:r>
        <w:rPr>
          <w:rFonts w:hint="eastAsia" w:ascii="楷体" w:hAnsi="楷体" w:eastAsia="楷体" w:cs="楷体"/>
          <w:color w:val="000000"/>
          <w:sz w:val="32"/>
          <w:szCs w:val="32"/>
        </w:rPr>
        <w:t>6</w:t>
      </w:r>
      <w:r>
        <w:rPr>
          <w:rFonts w:hint="eastAsia" w:ascii="楷体" w:hAnsi="楷体" w:eastAsia="楷体" w:cs="楷体"/>
          <w:color w:val="000000"/>
          <w:sz w:val="32"/>
          <w:szCs w:val="32"/>
          <w:lang w:val="en-US" w:eastAsia="zh-CN"/>
        </w:rPr>
        <w:t>月</w:t>
      </w:r>
      <w:r>
        <w:rPr>
          <w:rFonts w:hint="eastAsia" w:ascii="楷体" w:hAnsi="楷体" w:eastAsia="楷体" w:cs="楷体"/>
          <w:color w:val="000000"/>
          <w:sz w:val="32"/>
          <w:szCs w:val="32"/>
        </w:rPr>
        <w:t>17</w:t>
      </w:r>
      <w:r>
        <w:rPr>
          <w:rFonts w:hint="eastAsia" w:ascii="楷体" w:hAnsi="楷体" w:eastAsia="楷体" w:cs="楷体"/>
          <w:color w:val="000000"/>
          <w:sz w:val="32"/>
          <w:szCs w:val="32"/>
          <w:lang w:val="en-US" w:eastAsia="zh-CN"/>
        </w:rPr>
        <w:t>日</w:t>
      </w:r>
      <w:r>
        <w:rPr>
          <w:rFonts w:hint="eastAsia" w:ascii="楷体" w:hAnsi="楷体" w:eastAsia="楷体" w:cs="楷体"/>
          <w:color w:val="000000"/>
          <w:sz w:val="32"/>
          <w:szCs w:val="32"/>
        </w:rPr>
        <w:t xml:space="preserve">        </w:t>
      </w:r>
      <w:bookmarkEnd w:id="0"/>
    </w:p>
    <w:p w14:paraId="539A4DC3">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fmt="decimal" w:start="1"/>
          <w:cols w:space="720" w:num="1"/>
          <w:docGrid w:linePitch="360"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36"/>
          <w:szCs w:val="36"/>
        </w:rPr>
      </w:sdtEndPr>
      <w:sdtContent>
        <w:p w14:paraId="66ADF4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sz w:val="21"/>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66EE545B">
          <w:pPr>
            <w:pStyle w:val="22"/>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_Toc3739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_Toc3739 \h </w:instrText>
          </w:r>
          <w:r>
            <w:rPr>
              <w:sz w:val="28"/>
              <w:szCs w:val="24"/>
            </w:rPr>
            <w:fldChar w:fldCharType="separate"/>
          </w:r>
          <w:r>
            <w:rPr>
              <w:sz w:val="28"/>
              <w:szCs w:val="24"/>
            </w:rPr>
            <w:t>1</w:t>
          </w:r>
          <w:r>
            <w:rPr>
              <w:sz w:val="28"/>
              <w:szCs w:val="24"/>
            </w:rPr>
            <w:fldChar w:fldCharType="end"/>
          </w:r>
          <w:r>
            <w:rPr>
              <w:sz w:val="28"/>
              <w:szCs w:val="24"/>
            </w:rPr>
            <w:fldChar w:fldCharType="end"/>
          </w:r>
        </w:p>
        <w:p w14:paraId="6D3933B5">
          <w:pPr>
            <w:pStyle w:val="22"/>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_Toc32386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_Toc32386 \h </w:instrText>
          </w:r>
          <w:r>
            <w:rPr>
              <w:sz w:val="28"/>
              <w:szCs w:val="24"/>
            </w:rPr>
            <w:fldChar w:fldCharType="separate"/>
          </w:r>
          <w:r>
            <w:rPr>
              <w:sz w:val="28"/>
              <w:szCs w:val="24"/>
            </w:rPr>
            <w:t>1</w:t>
          </w:r>
          <w:r>
            <w:rPr>
              <w:sz w:val="28"/>
              <w:szCs w:val="24"/>
            </w:rPr>
            <w:fldChar w:fldCharType="end"/>
          </w:r>
          <w:r>
            <w:rPr>
              <w:sz w:val="28"/>
              <w:szCs w:val="24"/>
            </w:rPr>
            <w:fldChar w:fldCharType="end"/>
          </w:r>
        </w:p>
        <w:p w14:paraId="31B0229F">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_Toc17673 </w:instrText>
          </w:r>
          <w:r>
            <w:rPr>
              <w:sz w:val="28"/>
              <w:szCs w:val="24"/>
            </w:rPr>
            <w:fldChar w:fldCharType="separate"/>
          </w:r>
          <w:r>
            <w:rPr>
              <w:rFonts w:hint="eastAsia" w:ascii="楷体" w:hAnsi="楷体" w:eastAsia="楷体" w:cs="楷体"/>
              <w:bCs/>
              <w:sz w:val="28"/>
              <w:szCs w:val="44"/>
            </w:rPr>
            <w:t>（一）项目概况</w:t>
          </w:r>
          <w:r>
            <w:rPr>
              <w:sz w:val="28"/>
              <w:szCs w:val="24"/>
            </w:rPr>
            <w:tab/>
          </w:r>
          <w:r>
            <w:rPr>
              <w:sz w:val="28"/>
              <w:szCs w:val="24"/>
            </w:rPr>
            <w:fldChar w:fldCharType="begin"/>
          </w:r>
          <w:r>
            <w:rPr>
              <w:sz w:val="28"/>
              <w:szCs w:val="24"/>
            </w:rPr>
            <w:instrText xml:space="preserve"> PAGEREF _Toc17673 \h </w:instrText>
          </w:r>
          <w:r>
            <w:rPr>
              <w:sz w:val="28"/>
              <w:szCs w:val="24"/>
            </w:rPr>
            <w:fldChar w:fldCharType="separate"/>
          </w:r>
          <w:r>
            <w:rPr>
              <w:sz w:val="28"/>
              <w:szCs w:val="24"/>
            </w:rPr>
            <w:t>1</w:t>
          </w:r>
          <w:r>
            <w:rPr>
              <w:sz w:val="28"/>
              <w:szCs w:val="24"/>
            </w:rPr>
            <w:fldChar w:fldCharType="end"/>
          </w:r>
          <w:r>
            <w:rPr>
              <w:sz w:val="28"/>
              <w:szCs w:val="24"/>
            </w:rPr>
            <w:fldChar w:fldCharType="end"/>
          </w:r>
        </w:p>
        <w:p w14:paraId="2026D1BC">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_Toc5870 </w:instrText>
          </w:r>
          <w:r>
            <w:rPr>
              <w:sz w:val="28"/>
              <w:szCs w:val="24"/>
            </w:rPr>
            <w:fldChar w:fldCharType="separate"/>
          </w:r>
          <w:r>
            <w:rPr>
              <w:rFonts w:hint="eastAsia" w:ascii="楷体" w:hAnsi="楷体" w:eastAsia="楷体" w:cs="楷体"/>
              <w:bCs/>
              <w:sz w:val="28"/>
              <w:szCs w:val="44"/>
            </w:rPr>
            <w:t>（二）项目绩效目标</w:t>
          </w:r>
          <w:r>
            <w:rPr>
              <w:sz w:val="28"/>
              <w:szCs w:val="24"/>
            </w:rPr>
            <w:tab/>
          </w:r>
          <w:r>
            <w:rPr>
              <w:sz w:val="28"/>
              <w:szCs w:val="24"/>
            </w:rPr>
            <w:fldChar w:fldCharType="begin"/>
          </w:r>
          <w:r>
            <w:rPr>
              <w:sz w:val="28"/>
              <w:szCs w:val="24"/>
            </w:rPr>
            <w:instrText xml:space="preserve"> PAGEREF _Toc5870 \h </w:instrText>
          </w:r>
          <w:r>
            <w:rPr>
              <w:sz w:val="28"/>
              <w:szCs w:val="24"/>
            </w:rPr>
            <w:fldChar w:fldCharType="separate"/>
          </w:r>
          <w:r>
            <w:rPr>
              <w:sz w:val="28"/>
              <w:szCs w:val="24"/>
            </w:rPr>
            <w:t>2</w:t>
          </w:r>
          <w:r>
            <w:rPr>
              <w:sz w:val="28"/>
              <w:szCs w:val="24"/>
            </w:rPr>
            <w:fldChar w:fldCharType="end"/>
          </w:r>
          <w:r>
            <w:rPr>
              <w:sz w:val="28"/>
              <w:szCs w:val="24"/>
            </w:rPr>
            <w:fldChar w:fldCharType="end"/>
          </w:r>
        </w:p>
        <w:p w14:paraId="6126E670">
          <w:pPr>
            <w:pStyle w:val="22"/>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_Toc14399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_Toc14399 \h </w:instrText>
          </w:r>
          <w:r>
            <w:rPr>
              <w:sz w:val="28"/>
              <w:szCs w:val="24"/>
            </w:rPr>
            <w:fldChar w:fldCharType="separate"/>
          </w:r>
          <w:r>
            <w:rPr>
              <w:sz w:val="28"/>
              <w:szCs w:val="24"/>
            </w:rPr>
            <w:t>2</w:t>
          </w:r>
          <w:r>
            <w:rPr>
              <w:sz w:val="28"/>
              <w:szCs w:val="24"/>
            </w:rPr>
            <w:fldChar w:fldCharType="end"/>
          </w:r>
          <w:r>
            <w:rPr>
              <w:sz w:val="28"/>
              <w:szCs w:val="24"/>
            </w:rPr>
            <w:fldChar w:fldCharType="end"/>
          </w:r>
        </w:p>
        <w:p w14:paraId="6A214015">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_Toc14591 </w:instrText>
          </w:r>
          <w:r>
            <w:rPr>
              <w:sz w:val="28"/>
              <w:szCs w:val="24"/>
            </w:rPr>
            <w:fldChar w:fldCharType="separate"/>
          </w:r>
          <w:r>
            <w:rPr>
              <w:rFonts w:hint="eastAsia" w:ascii="楷体" w:hAnsi="楷体" w:eastAsia="楷体" w:cs="楷体"/>
              <w:bCs/>
              <w:sz w:val="28"/>
              <w:szCs w:val="44"/>
            </w:rPr>
            <w:t>（一）绩效评价目的与重点</w:t>
          </w:r>
          <w:r>
            <w:rPr>
              <w:sz w:val="28"/>
              <w:szCs w:val="24"/>
            </w:rPr>
            <w:tab/>
          </w:r>
          <w:r>
            <w:rPr>
              <w:sz w:val="28"/>
              <w:szCs w:val="24"/>
            </w:rPr>
            <w:fldChar w:fldCharType="begin"/>
          </w:r>
          <w:r>
            <w:rPr>
              <w:sz w:val="28"/>
              <w:szCs w:val="24"/>
            </w:rPr>
            <w:instrText xml:space="preserve"> PAGEREF _Toc14591 \h </w:instrText>
          </w:r>
          <w:r>
            <w:rPr>
              <w:sz w:val="28"/>
              <w:szCs w:val="24"/>
            </w:rPr>
            <w:fldChar w:fldCharType="separate"/>
          </w:r>
          <w:r>
            <w:rPr>
              <w:sz w:val="28"/>
              <w:szCs w:val="24"/>
            </w:rPr>
            <w:t>2</w:t>
          </w:r>
          <w:r>
            <w:rPr>
              <w:sz w:val="28"/>
              <w:szCs w:val="24"/>
            </w:rPr>
            <w:fldChar w:fldCharType="end"/>
          </w:r>
          <w:r>
            <w:rPr>
              <w:sz w:val="28"/>
              <w:szCs w:val="24"/>
            </w:rPr>
            <w:fldChar w:fldCharType="end"/>
          </w:r>
        </w:p>
        <w:p w14:paraId="47185A40">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_Toc19347 </w:instrText>
          </w:r>
          <w:r>
            <w:rPr>
              <w:sz w:val="28"/>
              <w:szCs w:val="24"/>
            </w:rPr>
            <w:fldChar w:fldCharType="separate"/>
          </w:r>
          <w:r>
            <w:rPr>
              <w:rFonts w:hint="eastAsia" w:ascii="楷体" w:hAnsi="楷体" w:eastAsia="楷体" w:cs="楷体"/>
              <w:bCs/>
              <w:sz w:val="28"/>
              <w:szCs w:val="44"/>
            </w:rPr>
            <w:t>（二）绩效评价指标与方法</w:t>
          </w:r>
          <w:r>
            <w:rPr>
              <w:sz w:val="28"/>
              <w:szCs w:val="24"/>
            </w:rPr>
            <w:tab/>
          </w:r>
          <w:r>
            <w:rPr>
              <w:sz w:val="28"/>
              <w:szCs w:val="24"/>
            </w:rPr>
            <w:fldChar w:fldCharType="begin"/>
          </w:r>
          <w:r>
            <w:rPr>
              <w:sz w:val="28"/>
              <w:szCs w:val="24"/>
            </w:rPr>
            <w:instrText xml:space="preserve"> PAGEREF _Toc19347 \h </w:instrText>
          </w:r>
          <w:r>
            <w:rPr>
              <w:sz w:val="28"/>
              <w:szCs w:val="24"/>
            </w:rPr>
            <w:fldChar w:fldCharType="separate"/>
          </w:r>
          <w:r>
            <w:rPr>
              <w:sz w:val="28"/>
              <w:szCs w:val="24"/>
            </w:rPr>
            <w:t>3</w:t>
          </w:r>
          <w:r>
            <w:rPr>
              <w:sz w:val="28"/>
              <w:szCs w:val="24"/>
            </w:rPr>
            <w:fldChar w:fldCharType="end"/>
          </w:r>
          <w:r>
            <w:rPr>
              <w:sz w:val="28"/>
              <w:szCs w:val="24"/>
            </w:rPr>
            <w:fldChar w:fldCharType="end"/>
          </w:r>
        </w:p>
        <w:p w14:paraId="0879C0D1">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_Toc19596 </w:instrText>
          </w:r>
          <w:r>
            <w:rPr>
              <w:sz w:val="28"/>
              <w:szCs w:val="24"/>
            </w:rPr>
            <w:fldChar w:fldCharType="separate"/>
          </w:r>
          <w:r>
            <w:rPr>
              <w:rFonts w:hint="eastAsia" w:ascii="楷体" w:hAnsi="楷体" w:eastAsia="楷体" w:cs="楷体"/>
              <w:bCs/>
              <w:sz w:val="28"/>
              <w:szCs w:val="44"/>
            </w:rPr>
            <w:t>（三）绩效评价工作过程</w:t>
          </w:r>
          <w:r>
            <w:rPr>
              <w:sz w:val="28"/>
              <w:szCs w:val="24"/>
            </w:rPr>
            <w:tab/>
          </w:r>
          <w:r>
            <w:rPr>
              <w:sz w:val="28"/>
              <w:szCs w:val="24"/>
            </w:rPr>
            <w:fldChar w:fldCharType="begin"/>
          </w:r>
          <w:r>
            <w:rPr>
              <w:sz w:val="28"/>
              <w:szCs w:val="24"/>
            </w:rPr>
            <w:instrText xml:space="preserve"> PAGEREF _Toc19596 \h </w:instrText>
          </w:r>
          <w:r>
            <w:rPr>
              <w:sz w:val="28"/>
              <w:szCs w:val="24"/>
            </w:rPr>
            <w:fldChar w:fldCharType="separate"/>
          </w:r>
          <w:r>
            <w:rPr>
              <w:sz w:val="28"/>
              <w:szCs w:val="24"/>
            </w:rPr>
            <w:t>6</w:t>
          </w:r>
          <w:r>
            <w:rPr>
              <w:sz w:val="28"/>
              <w:szCs w:val="24"/>
            </w:rPr>
            <w:fldChar w:fldCharType="end"/>
          </w:r>
          <w:r>
            <w:rPr>
              <w:sz w:val="28"/>
              <w:szCs w:val="24"/>
            </w:rPr>
            <w:fldChar w:fldCharType="end"/>
          </w:r>
        </w:p>
        <w:p w14:paraId="0695820D">
          <w:pPr>
            <w:pStyle w:val="22"/>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_Toc31221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_Toc31221 \h </w:instrText>
          </w:r>
          <w:r>
            <w:rPr>
              <w:sz w:val="28"/>
              <w:szCs w:val="24"/>
            </w:rPr>
            <w:fldChar w:fldCharType="separate"/>
          </w:r>
          <w:r>
            <w:rPr>
              <w:sz w:val="28"/>
              <w:szCs w:val="24"/>
            </w:rPr>
            <w:t>8</w:t>
          </w:r>
          <w:r>
            <w:rPr>
              <w:sz w:val="28"/>
              <w:szCs w:val="24"/>
            </w:rPr>
            <w:fldChar w:fldCharType="end"/>
          </w:r>
          <w:r>
            <w:rPr>
              <w:sz w:val="28"/>
              <w:szCs w:val="24"/>
            </w:rPr>
            <w:fldChar w:fldCharType="end"/>
          </w:r>
        </w:p>
        <w:p w14:paraId="52886FA7">
          <w:pPr>
            <w:pStyle w:val="22"/>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_Toc4462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_Toc4462 \h </w:instrText>
          </w:r>
          <w:r>
            <w:rPr>
              <w:sz w:val="28"/>
              <w:szCs w:val="24"/>
            </w:rPr>
            <w:fldChar w:fldCharType="separate"/>
          </w:r>
          <w:r>
            <w:rPr>
              <w:sz w:val="28"/>
              <w:szCs w:val="24"/>
            </w:rPr>
            <w:t>9</w:t>
          </w:r>
          <w:r>
            <w:rPr>
              <w:sz w:val="28"/>
              <w:szCs w:val="24"/>
            </w:rPr>
            <w:fldChar w:fldCharType="end"/>
          </w:r>
          <w:r>
            <w:rPr>
              <w:sz w:val="28"/>
              <w:szCs w:val="24"/>
            </w:rPr>
            <w:fldChar w:fldCharType="end"/>
          </w:r>
        </w:p>
        <w:p w14:paraId="7B91349E">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_Toc6618 </w:instrText>
          </w:r>
          <w:r>
            <w:rPr>
              <w:sz w:val="28"/>
              <w:szCs w:val="24"/>
            </w:rPr>
            <w:fldChar w:fldCharType="separate"/>
          </w:r>
          <w:r>
            <w:rPr>
              <w:rFonts w:hint="eastAsia" w:ascii="楷体_GB2312" w:hAnsi="楷体_GB2312" w:eastAsia="楷体_GB2312" w:cs="楷体_GB2312"/>
              <w:bCs/>
              <w:sz w:val="28"/>
              <w:szCs w:val="44"/>
            </w:rPr>
            <w:t>（一）决策指标</w:t>
          </w:r>
          <w:r>
            <w:rPr>
              <w:sz w:val="28"/>
              <w:szCs w:val="24"/>
            </w:rPr>
            <w:tab/>
          </w:r>
          <w:r>
            <w:rPr>
              <w:sz w:val="28"/>
              <w:szCs w:val="24"/>
            </w:rPr>
            <w:fldChar w:fldCharType="begin"/>
          </w:r>
          <w:r>
            <w:rPr>
              <w:sz w:val="28"/>
              <w:szCs w:val="24"/>
            </w:rPr>
            <w:instrText xml:space="preserve"> PAGEREF _Toc6618 \h </w:instrText>
          </w:r>
          <w:r>
            <w:rPr>
              <w:sz w:val="28"/>
              <w:szCs w:val="24"/>
            </w:rPr>
            <w:fldChar w:fldCharType="separate"/>
          </w:r>
          <w:r>
            <w:rPr>
              <w:sz w:val="28"/>
              <w:szCs w:val="24"/>
            </w:rPr>
            <w:t>9</w:t>
          </w:r>
          <w:r>
            <w:rPr>
              <w:sz w:val="28"/>
              <w:szCs w:val="24"/>
            </w:rPr>
            <w:fldChar w:fldCharType="end"/>
          </w:r>
          <w:r>
            <w:rPr>
              <w:sz w:val="28"/>
              <w:szCs w:val="24"/>
            </w:rPr>
            <w:fldChar w:fldCharType="end"/>
          </w:r>
        </w:p>
        <w:p w14:paraId="50A3EDE5">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_Toc19007 </w:instrText>
          </w:r>
          <w:r>
            <w:rPr>
              <w:sz w:val="28"/>
              <w:szCs w:val="24"/>
            </w:rPr>
            <w:fldChar w:fldCharType="separate"/>
          </w:r>
          <w:r>
            <w:rPr>
              <w:rFonts w:hint="eastAsia" w:ascii="楷体_GB2312" w:hAnsi="楷体_GB2312" w:eastAsia="楷体_GB2312" w:cs="楷体_GB2312"/>
              <w:bCs/>
              <w:sz w:val="28"/>
              <w:szCs w:val="44"/>
            </w:rPr>
            <w:t>（二）过程指标</w:t>
          </w:r>
          <w:r>
            <w:rPr>
              <w:sz w:val="28"/>
              <w:szCs w:val="24"/>
            </w:rPr>
            <w:tab/>
          </w:r>
          <w:r>
            <w:rPr>
              <w:sz w:val="28"/>
              <w:szCs w:val="24"/>
            </w:rPr>
            <w:fldChar w:fldCharType="begin"/>
          </w:r>
          <w:r>
            <w:rPr>
              <w:sz w:val="28"/>
              <w:szCs w:val="24"/>
            </w:rPr>
            <w:instrText xml:space="preserve"> PAGEREF _Toc19007 \h </w:instrText>
          </w:r>
          <w:r>
            <w:rPr>
              <w:sz w:val="28"/>
              <w:szCs w:val="24"/>
            </w:rPr>
            <w:fldChar w:fldCharType="separate"/>
          </w:r>
          <w:r>
            <w:rPr>
              <w:sz w:val="28"/>
              <w:szCs w:val="24"/>
            </w:rPr>
            <w:t>11</w:t>
          </w:r>
          <w:r>
            <w:rPr>
              <w:sz w:val="28"/>
              <w:szCs w:val="24"/>
            </w:rPr>
            <w:fldChar w:fldCharType="end"/>
          </w:r>
          <w:r>
            <w:rPr>
              <w:sz w:val="28"/>
              <w:szCs w:val="24"/>
            </w:rPr>
            <w:fldChar w:fldCharType="end"/>
          </w:r>
        </w:p>
        <w:p w14:paraId="7DAFAFDA">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_Toc31109 </w:instrText>
          </w:r>
          <w:r>
            <w:rPr>
              <w:sz w:val="28"/>
              <w:szCs w:val="24"/>
            </w:rPr>
            <w:fldChar w:fldCharType="separate"/>
          </w:r>
          <w:r>
            <w:rPr>
              <w:rFonts w:hint="eastAsia" w:ascii="楷体_GB2312" w:hAnsi="楷体_GB2312" w:eastAsia="楷体_GB2312" w:cs="楷体_GB2312"/>
              <w:bCs/>
              <w:sz w:val="28"/>
              <w:szCs w:val="44"/>
            </w:rPr>
            <w:t>（三）产出指标</w:t>
          </w:r>
          <w:r>
            <w:rPr>
              <w:sz w:val="28"/>
              <w:szCs w:val="24"/>
            </w:rPr>
            <w:tab/>
          </w:r>
          <w:r>
            <w:rPr>
              <w:sz w:val="28"/>
              <w:szCs w:val="24"/>
            </w:rPr>
            <w:fldChar w:fldCharType="begin"/>
          </w:r>
          <w:r>
            <w:rPr>
              <w:sz w:val="28"/>
              <w:szCs w:val="24"/>
            </w:rPr>
            <w:instrText xml:space="preserve"> PAGEREF _Toc31109 \h </w:instrText>
          </w:r>
          <w:r>
            <w:rPr>
              <w:sz w:val="28"/>
              <w:szCs w:val="24"/>
            </w:rPr>
            <w:fldChar w:fldCharType="separate"/>
          </w:r>
          <w:r>
            <w:rPr>
              <w:sz w:val="28"/>
              <w:szCs w:val="24"/>
            </w:rPr>
            <w:t>13</w:t>
          </w:r>
          <w:r>
            <w:rPr>
              <w:sz w:val="28"/>
              <w:szCs w:val="24"/>
            </w:rPr>
            <w:fldChar w:fldCharType="end"/>
          </w:r>
          <w:r>
            <w:rPr>
              <w:sz w:val="28"/>
              <w:szCs w:val="24"/>
            </w:rPr>
            <w:fldChar w:fldCharType="end"/>
          </w:r>
        </w:p>
        <w:p w14:paraId="0B7A292B">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_Toc4609 </w:instrText>
          </w:r>
          <w:r>
            <w:rPr>
              <w:sz w:val="28"/>
              <w:szCs w:val="24"/>
            </w:rPr>
            <w:fldChar w:fldCharType="separate"/>
          </w:r>
          <w:r>
            <w:rPr>
              <w:rFonts w:hint="eastAsia" w:ascii="楷体_GB2312" w:hAnsi="楷体_GB2312" w:eastAsia="楷体_GB2312" w:cs="楷体_GB2312"/>
              <w:bCs/>
              <w:sz w:val="28"/>
              <w:szCs w:val="44"/>
            </w:rPr>
            <w:t>（四）效益指标</w:t>
          </w:r>
          <w:r>
            <w:rPr>
              <w:sz w:val="28"/>
              <w:szCs w:val="24"/>
            </w:rPr>
            <w:tab/>
          </w:r>
          <w:r>
            <w:rPr>
              <w:sz w:val="28"/>
              <w:szCs w:val="24"/>
            </w:rPr>
            <w:fldChar w:fldCharType="begin"/>
          </w:r>
          <w:r>
            <w:rPr>
              <w:sz w:val="28"/>
              <w:szCs w:val="24"/>
            </w:rPr>
            <w:instrText xml:space="preserve"> PAGEREF _Toc4609 \h </w:instrText>
          </w:r>
          <w:r>
            <w:rPr>
              <w:sz w:val="28"/>
              <w:szCs w:val="24"/>
            </w:rPr>
            <w:fldChar w:fldCharType="separate"/>
          </w:r>
          <w:r>
            <w:rPr>
              <w:sz w:val="28"/>
              <w:szCs w:val="24"/>
            </w:rPr>
            <w:t>14</w:t>
          </w:r>
          <w:r>
            <w:rPr>
              <w:sz w:val="28"/>
              <w:szCs w:val="24"/>
            </w:rPr>
            <w:fldChar w:fldCharType="end"/>
          </w:r>
          <w:r>
            <w:rPr>
              <w:sz w:val="28"/>
              <w:szCs w:val="24"/>
            </w:rPr>
            <w:fldChar w:fldCharType="end"/>
          </w:r>
        </w:p>
        <w:p w14:paraId="6D756BEA">
          <w:pPr>
            <w:pStyle w:val="22"/>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_Toc24213 </w:instrText>
          </w:r>
          <w:r>
            <w:rPr>
              <w:sz w:val="28"/>
              <w:szCs w:val="24"/>
            </w:rPr>
            <w:fldChar w:fldCharType="separate"/>
          </w:r>
          <w:r>
            <w:rPr>
              <w:rFonts w:hint="eastAsia" w:ascii="黑体" w:hAnsi="黑体" w:eastAsia="黑体" w:cs="黑体"/>
              <w:spacing w:val="-2"/>
              <w:sz w:val="28"/>
              <w:szCs w:val="44"/>
              <w:highlight w:val="none"/>
              <w:lang w:val="en-US" w:eastAsia="zh-CN"/>
            </w:rPr>
            <w:t>五</w:t>
          </w:r>
          <w:r>
            <w:rPr>
              <w:rFonts w:hint="eastAsia" w:ascii="黑体" w:hAnsi="黑体" w:eastAsia="黑体" w:cs="黑体"/>
              <w:spacing w:val="-2"/>
              <w:sz w:val="28"/>
              <w:szCs w:val="44"/>
              <w:highlight w:val="none"/>
            </w:rPr>
            <w:t>、存在的问题</w:t>
          </w:r>
          <w:r>
            <w:rPr>
              <w:sz w:val="28"/>
              <w:szCs w:val="24"/>
            </w:rPr>
            <w:tab/>
          </w:r>
          <w:r>
            <w:rPr>
              <w:sz w:val="28"/>
              <w:szCs w:val="24"/>
            </w:rPr>
            <w:fldChar w:fldCharType="begin"/>
          </w:r>
          <w:r>
            <w:rPr>
              <w:sz w:val="28"/>
              <w:szCs w:val="24"/>
            </w:rPr>
            <w:instrText xml:space="preserve"> PAGEREF _Toc24213 \h </w:instrText>
          </w:r>
          <w:r>
            <w:rPr>
              <w:sz w:val="28"/>
              <w:szCs w:val="24"/>
            </w:rPr>
            <w:fldChar w:fldCharType="separate"/>
          </w:r>
          <w:r>
            <w:rPr>
              <w:sz w:val="28"/>
              <w:szCs w:val="24"/>
            </w:rPr>
            <w:t>15</w:t>
          </w:r>
          <w:r>
            <w:rPr>
              <w:sz w:val="28"/>
              <w:szCs w:val="24"/>
            </w:rPr>
            <w:fldChar w:fldCharType="end"/>
          </w:r>
          <w:r>
            <w:rPr>
              <w:sz w:val="28"/>
              <w:szCs w:val="24"/>
            </w:rPr>
            <w:fldChar w:fldCharType="end"/>
          </w:r>
        </w:p>
        <w:p w14:paraId="6E67C979">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_Toc23539 </w:instrText>
          </w:r>
          <w:r>
            <w:rPr>
              <w:sz w:val="28"/>
              <w:szCs w:val="24"/>
            </w:rPr>
            <w:fldChar w:fldCharType="separate"/>
          </w:r>
          <w:r>
            <w:rPr>
              <w:rFonts w:hint="eastAsia" w:ascii="楷体_GB2312" w:hAnsi="楷体_GB2312" w:eastAsia="楷体_GB2312" w:cs="楷体_GB2312"/>
              <w:bCs/>
              <w:sz w:val="28"/>
              <w:szCs w:val="44"/>
              <w:lang w:eastAsia="zh-CN"/>
            </w:rPr>
            <w:t>（</w:t>
          </w:r>
          <w:r>
            <w:rPr>
              <w:rFonts w:hint="eastAsia" w:ascii="楷体_GB2312" w:hAnsi="楷体_GB2312" w:eastAsia="楷体_GB2312" w:cs="楷体_GB2312"/>
              <w:bCs/>
              <w:sz w:val="28"/>
              <w:szCs w:val="44"/>
              <w:lang w:val="en-US" w:eastAsia="zh-CN"/>
            </w:rPr>
            <w:t>一</w:t>
          </w:r>
          <w:r>
            <w:rPr>
              <w:rFonts w:hint="eastAsia" w:ascii="楷体_GB2312" w:hAnsi="楷体_GB2312" w:eastAsia="楷体_GB2312" w:cs="楷体_GB2312"/>
              <w:bCs/>
              <w:sz w:val="28"/>
              <w:szCs w:val="44"/>
              <w:lang w:eastAsia="zh-CN"/>
            </w:rPr>
            <w:t>）</w:t>
          </w:r>
          <w:r>
            <w:rPr>
              <w:rFonts w:hint="eastAsia" w:ascii="楷体_GB2312" w:hAnsi="楷体_GB2312" w:eastAsia="楷体_GB2312" w:cs="楷体_GB2312"/>
              <w:bCs/>
              <w:sz w:val="28"/>
              <w:szCs w:val="44"/>
            </w:rPr>
            <w:t>项目</w:t>
          </w:r>
          <w:r>
            <w:rPr>
              <w:rFonts w:hint="eastAsia" w:ascii="楷体_GB2312" w:hAnsi="楷体_GB2312" w:eastAsia="楷体_GB2312" w:cs="楷体_GB2312"/>
              <w:bCs/>
              <w:sz w:val="28"/>
              <w:szCs w:val="44"/>
              <w:lang w:val="en-US" w:eastAsia="zh-CN"/>
            </w:rPr>
            <w:t>设置的</w:t>
          </w:r>
          <w:r>
            <w:rPr>
              <w:rFonts w:hint="eastAsia" w:ascii="楷体_GB2312" w:hAnsi="楷体_GB2312" w:eastAsia="楷体_GB2312" w:cs="楷体_GB2312"/>
              <w:bCs/>
              <w:sz w:val="28"/>
              <w:szCs w:val="44"/>
            </w:rPr>
            <w:t>绩效</w:t>
          </w:r>
          <w:r>
            <w:rPr>
              <w:rFonts w:hint="eastAsia" w:ascii="楷体_GB2312" w:hAnsi="楷体_GB2312" w:eastAsia="楷体_GB2312" w:cs="楷体_GB2312"/>
              <w:bCs/>
              <w:sz w:val="28"/>
              <w:szCs w:val="44"/>
              <w:lang w:val="en-US" w:eastAsia="zh-CN"/>
            </w:rPr>
            <w:t>指标不清晰、不可衡量，与项目目标任务数无法对应</w:t>
          </w:r>
          <w:r>
            <w:rPr>
              <w:sz w:val="28"/>
              <w:szCs w:val="24"/>
            </w:rPr>
            <w:tab/>
          </w:r>
          <w:r>
            <w:rPr>
              <w:sz w:val="28"/>
              <w:szCs w:val="24"/>
            </w:rPr>
            <w:fldChar w:fldCharType="begin"/>
          </w:r>
          <w:r>
            <w:rPr>
              <w:sz w:val="28"/>
              <w:szCs w:val="24"/>
            </w:rPr>
            <w:instrText xml:space="preserve"> PAGEREF _Toc23539 \h </w:instrText>
          </w:r>
          <w:r>
            <w:rPr>
              <w:sz w:val="28"/>
              <w:szCs w:val="24"/>
            </w:rPr>
            <w:fldChar w:fldCharType="separate"/>
          </w:r>
          <w:r>
            <w:rPr>
              <w:sz w:val="28"/>
              <w:szCs w:val="24"/>
            </w:rPr>
            <w:t>15</w:t>
          </w:r>
          <w:r>
            <w:rPr>
              <w:sz w:val="28"/>
              <w:szCs w:val="24"/>
            </w:rPr>
            <w:fldChar w:fldCharType="end"/>
          </w:r>
          <w:r>
            <w:rPr>
              <w:sz w:val="28"/>
              <w:szCs w:val="24"/>
            </w:rPr>
            <w:fldChar w:fldCharType="end"/>
          </w:r>
        </w:p>
        <w:p w14:paraId="314D6418">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_Toc2813 </w:instrText>
          </w:r>
          <w:r>
            <w:rPr>
              <w:sz w:val="28"/>
              <w:szCs w:val="24"/>
            </w:rPr>
            <w:fldChar w:fldCharType="separate"/>
          </w:r>
          <w:r>
            <w:rPr>
              <w:rFonts w:hint="eastAsia" w:ascii="楷体_GB2312" w:hAnsi="楷体_GB2312" w:eastAsia="楷体_GB2312" w:cs="楷体_GB2312"/>
              <w:bCs/>
              <w:sz w:val="28"/>
              <w:szCs w:val="44"/>
              <w:lang w:eastAsia="zh-CN"/>
            </w:rPr>
            <w:t>（</w:t>
          </w:r>
          <w:r>
            <w:rPr>
              <w:rFonts w:hint="eastAsia" w:ascii="楷体_GB2312" w:hAnsi="楷体_GB2312" w:eastAsia="楷体_GB2312" w:cs="楷体_GB2312"/>
              <w:bCs/>
              <w:sz w:val="28"/>
              <w:szCs w:val="44"/>
              <w:lang w:val="en-US" w:eastAsia="zh-CN"/>
            </w:rPr>
            <w:t>二</w:t>
          </w:r>
          <w:r>
            <w:rPr>
              <w:rFonts w:hint="eastAsia" w:ascii="楷体_GB2312" w:hAnsi="楷体_GB2312" w:eastAsia="楷体_GB2312" w:cs="楷体_GB2312"/>
              <w:bCs/>
              <w:sz w:val="28"/>
              <w:szCs w:val="44"/>
              <w:lang w:eastAsia="zh-CN"/>
            </w:rPr>
            <w:t>）</w:t>
          </w:r>
          <w:r>
            <w:rPr>
              <w:rFonts w:hint="eastAsia" w:ascii="楷体_GB2312" w:hAnsi="楷体_GB2312" w:eastAsia="楷体_GB2312" w:cs="楷体_GB2312"/>
              <w:bCs/>
              <w:sz w:val="28"/>
              <w:szCs w:val="44"/>
            </w:rPr>
            <w:t>自评表得分不正确</w:t>
          </w:r>
          <w:r>
            <w:rPr>
              <w:sz w:val="28"/>
              <w:szCs w:val="24"/>
            </w:rPr>
            <w:tab/>
          </w:r>
          <w:r>
            <w:rPr>
              <w:sz w:val="28"/>
              <w:szCs w:val="24"/>
            </w:rPr>
            <w:fldChar w:fldCharType="begin"/>
          </w:r>
          <w:r>
            <w:rPr>
              <w:sz w:val="28"/>
              <w:szCs w:val="24"/>
            </w:rPr>
            <w:instrText xml:space="preserve"> PAGEREF _Toc2813 \h </w:instrText>
          </w:r>
          <w:r>
            <w:rPr>
              <w:sz w:val="28"/>
              <w:szCs w:val="24"/>
            </w:rPr>
            <w:fldChar w:fldCharType="separate"/>
          </w:r>
          <w:r>
            <w:rPr>
              <w:sz w:val="28"/>
              <w:szCs w:val="24"/>
            </w:rPr>
            <w:t>15</w:t>
          </w:r>
          <w:r>
            <w:rPr>
              <w:sz w:val="28"/>
              <w:szCs w:val="24"/>
            </w:rPr>
            <w:fldChar w:fldCharType="end"/>
          </w:r>
          <w:r>
            <w:rPr>
              <w:sz w:val="28"/>
              <w:szCs w:val="24"/>
            </w:rPr>
            <w:fldChar w:fldCharType="end"/>
          </w:r>
        </w:p>
        <w:p w14:paraId="4389D1AB">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_Toc22305 </w:instrText>
          </w:r>
          <w:r>
            <w:rPr>
              <w:sz w:val="28"/>
              <w:szCs w:val="24"/>
            </w:rPr>
            <w:fldChar w:fldCharType="separate"/>
          </w:r>
          <w:r>
            <w:rPr>
              <w:rFonts w:hint="eastAsia" w:ascii="楷体_GB2312" w:hAnsi="楷体_GB2312" w:eastAsia="楷体_GB2312" w:cs="楷体_GB2312"/>
              <w:bCs/>
              <w:sz w:val="28"/>
              <w:szCs w:val="44"/>
              <w:lang w:eastAsia="zh-CN"/>
            </w:rPr>
            <w:t>（</w:t>
          </w:r>
          <w:r>
            <w:rPr>
              <w:rFonts w:hint="eastAsia" w:ascii="楷体_GB2312" w:hAnsi="楷体_GB2312" w:eastAsia="楷体_GB2312" w:cs="楷体_GB2312"/>
              <w:bCs/>
              <w:sz w:val="28"/>
              <w:szCs w:val="44"/>
              <w:lang w:val="en-US" w:eastAsia="zh-CN"/>
            </w:rPr>
            <w:t>三）</w:t>
          </w:r>
          <w:r>
            <w:rPr>
              <w:rFonts w:hint="eastAsia" w:ascii="楷体_GB2312" w:hAnsi="楷体_GB2312" w:eastAsia="楷体_GB2312" w:cs="楷体_GB2312"/>
              <w:bCs/>
              <w:sz w:val="28"/>
              <w:szCs w:val="44"/>
              <w:lang w:eastAsia="zh-CN"/>
            </w:rPr>
            <w:t>项目</w:t>
          </w:r>
          <w:r>
            <w:rPr>
              <w:rFonts w:hint="eastAsia" w:ascii="楷体_GB2312" w:hAnsi="楷体_GB2312" w:eastAsia="楷体_GB2312" w:cs="楷体_GB2312"/>
              <w:bCs/>
              <w:sz w:val="28"/>
              <w:szCs w:val="44"/>
              <w:lang w:val="en-US" w:eastAsia="zh-CN"/>
            </w:rPr>
            <w:t>未</w:t>
          </w:r>
          <w:r>
            <w:rPr>
              <w:rFonts w:hint="eastAsia" w:ascii="楷体_GB2312" w:hAnsi="楷体_GB2312" w:eastAsia="楷体_GB2312" w:cs="楷体_GB2312"/>
              <w:bCs/>
              <w:sz w:val="28"/>
              <w:szCs w:val="44"/>
              <w:lang w:eastAsia="zh-CN"/>
            </w:rPr>
            <w:t>执行采购程序</w:t>
          </w:r>
          <w:r>
            <w:rPr>
              <w:sz w:val="28"/>
              <w:szCs w:val="24"/>
            </w:rPr>
            <w:tab/>
          </w:r>
          <w:r>
            <w:rPr>
              <w:sz w:val="28"/>
              <w:szCs w:val="24"/>
            </w:rPr>
            <w:fldChar w:fldCharType="begin"/>
          </w:r>
          <w:r>
            <w:rPr>
              <w:sz w:val="28"/>
              <w:szCs w:val="24"/>
            </w:rPr>
            <w:instrText xml:space="preserve"> PAGEREF _Toc22305 \h </w:instrText>
          </w:r>
          <w:r>
            <w:rPr>
              <w:sz w:val="28"/>
              <w:szCs w:val="24"/>
            </w:rPr>
            <w:fldChar w:fldCharType="separate"/>
          </w:r>
          <w:r>
            <w:rPr>
              <w:sz w:val="28"/>
              <w:szCs w:val="24"/>
            </w:rPr>
            <w:t>15</w:t>
          </w:r>
          <w:r>
            <w:rPr>
              <w:sz w:val="28"/>
              <w:szCs w:val="24"/>
            </w:rPr>
            <w:fldChar w:fldCharType="end"/>
          </w:r>
          <w:r>
            <w:rPr>
              <w:sz w:val="28"/>
              <w:szCs w:val="24"/>
            </w:rPr>
            <w:fldChar w:fldCharType="end"/>
          </w:r>
        </w:p>
        <w:p w14:paraId="523FD4E9">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_Toc15064 </w:instrText>
          </w:r>
          <w:r>
            <w:rPr>
              <w:sz w:val="28"/>
              <w:szCs w:val="24"/>
            </w:rPr>
            <w:fldChar w:fldCharType="separate"/>
          </w:r>
          <w:r>
            <w:rPr>
              <w:rFonts w:hint="eastAsia" w:ascii="楷体_GB2312" w:hAnsi="楷体_GB2312" w:eastAsia="楷体_GB2312" w:cs="楷体_GB2312"/>
              <w:bCs/>
              <w:sz w:val="28"/>
              <w:szCs w:val="44"/>
              <w:lang w:val="en-US" w:eastAsia="zh-CN"/>
            </w:rPr>
            <w:t>（四）项目未履行验收手续</w:t>
          </w:r>
          <w:r>
            <w:rPr>
              <w:sz w:val="28"/>
              <w:szCs w:val="24"/>
            </w:rPr>
            <w:tab/>
          </w:r>
          <w:r>
            <w:rPr>
              <w:sz w:val="28"/>
              <w:szCs w:val="24"/>
            </w:rPr>
            <w:fldChar w:fldCharType="begin"/>
          </w:r>
          <w:r>
            <w:rPr>
              <w:sz w:val="28"/>
              <w:szCs w:val="24"/>
            </w:rPr>
            <w:instrText xml:space="preserve"> PAGEREF _Toc15064 \h </w:instrText>
          </w:r>
          <w:r>
            <w:rPr>
              <w:sz w:val="28"/>
              <w:szCs w:val="24"/>
            </w:rPr>
            <w:fldChar w:fldCharType="separate"/>
          </w:r>
          <w:r>
            <w:rPr>
              <w:sz w:val="28"/>
              <w:szCs w:val="24"/>
            </w:rPr>
            <w:t>15</w:t>
          </w:r>
          <w:r>
            <w:rPr>
              <w:sz w:val="28"/>
              <w:szCs w:val="24"/>
            </w:rPr>
            <w:fldChar w:fldCharType="end"/>
          </w:r>
          <w:r>
            <w:rPr>
              <w:sz w:val="28"/>
              <w:szCs w:val="24"/>
            </w:rPr>
            <w:fldChar w:fldCharType="end"/>
          </w:r>
        </w:p>
        <w:p w14:paraId="418A4EB0">
          <w:pPr>
            <w:pStyle w:val="22"/>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_Toc31610 </w:instrText>
          </w:r>
          <w:r>
            <w:rPr>
              <w:sz w:val="28"/>
              <w:szCs w:val="24"/>
            </w:rPr>
            <w:fldChar w:fldCharType="separate"/>
          </w:r>
          <w:r>
            <w:rPr>
              <w:rFonts w:hint="eastAsia" w:ascii="黑体" w:hAnsi="黑体" w:eastAsia="黑体" w:cs="黑体"/>
              <w:spacing w:val="-2"/>
              <w:sz w:val="28"/>
              <w:szCs w:val="44"/>
              <w:highlight w:val="none"/>
              <w:lang w:val="en-US" w:eastAsia="zh-CN"/>
            </w:rPr>
            <w:t>六</w:t>
          </w:r>
          <w:r>
            <w:rPr>
              <w:rFonts w:hint="eastAsia" w:ascii="黑体" w:hAnsi="黑体" w:eastAsia="黑体" w:cs="黑体"/>
              <w:spacing w:val="-2"/>
              <w:sz w:val="28"/>
              <w:szCs w:val="44"/>
              <w:highlight w:val="none"/>
            </w:rPr>
            <w:t>、建议</w:t>
          </w:r>
          <w:r>
            <w:rPr>
              <w:sz w:val="28"/>
              <w:szCs w:val="24"/>
            </w:rPr>
            <w:tab/>
          </w:r>
          <w:r>
            <w:rPr>
              <w:sz w:val="28"/>
              <w:szCs w:val="24"/>
            </w:rPr>
            <w:fldChar w:fldCharType="begin"/>
          </w:r>
          <w:r>
            <w:rPr>
              <w:sz w:val="28"/>
              <w:szCs w:val="24"/>
            </w:rPr>
            <w:instrText xml:space="preserve"> PAGEREF _Toc31610 \h </w:instrText>
          </w:r>
          <w:r>
            <w:rPr>
              <w:sz w:val="28"/>
              <w:szCs w:val="24"/>
            </w:rPr>
            <w:fldChar w:fldCharType="separate"/>
          </w:r>
          <w:r>
            <w:rPr>
              <w:sz w:val="28"/>
              <w:szCs w:val="24"/>
            </w:rPr>
            <w:t>16</w:t>
          </w:r>
          <w:r>
            <w:rPr>
              <w:sz w:val="28"/>
              <w:szCs w:val="24"/>
            </w:rPr>
            <w:fldChar w:fldCharType="end"/>
          </w:r>
          <w:r>
            <w:rPr>
              <w:sz w:val="28"/>
              <w:szCs w:val="24"/>
            </w:rPr>
            <w:fldChar w:fldCharType="end"/>
          </w:r>
        </w:p>
        <w:p w14:paraId="27274B3A">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_Toc27057 </w:instrText>
          </w:r>
          <w:r>
            <w:rPr>
              <w:sz w:val="28"/>
              <w:szCs w:val="24"/>
            </w:rPr>
            <w:fldChar w:fldCharType="separate"/>
          </w:r>
          <w:r>
            <w:rPr>
              <w:rFonts w:hint="eastAsia" w:ascii="楷体_GB2312" w:hAnsi="楷体_GB2312" w:eastAsia="楷体_GB2312" w:cs="楷体_GB2312"/>
              <w:bCs/>
              <w:sz w:val="28"/>
              <w:szCs w:val="44"/>
              <w:lang w:val="en-US" w:eastAsia="zh-CN"/>
            </w:rPr>
            <w:t>（一）合理设置项目的绩效指标</w:t>
          </w:r>
          <w:r>
            <w:rPr>
              <w:sz w:val="28"/>
              <w:szCs w:val="24"/>
            </w:rPr>
            <w:tab/>
          </w:r>
          <w:r>
            <w:rPr>
              <w:sz w:val="28"/>
              <w:szCs w:val="24"/>
            </w:rPr>
            <w:fldChar w:fldCharType="begin"/>
          </w:r>
          <w:r>
            <w:rPr>
              <w:sz w:val="28"/>
              <w:szCs w:val="24"/>
            </w:rPr>
            <w:instrText xml:space="preserve"> PAGEREF _Toc27057 \h </w:instrText>
          </w:r>
          <w:r>
            <w:rPr>
              <w:sz w:val="28"/>
              <w:szCs w:val="24"/>
            </w:rPr>
            <w:fldChar w:fldCharType="separate"/>
          </w:r>
          <w:r>
            <w:rPr>
              <w:sz w:val="28"/>
              <w:szCs w:val="24"/>
            </w:rPr>
            <w:t>16</w:t>
          </w:r>
          <w:r>
            <w:rPr>
              <w:sz w:val="28"/>
              <w:szCs w:val="24"/>
            </w:rPr>
            <w:fldChar w:fldCharType="end"/>
          </w:r>
          <w:r>
            <w:rPr>
              <w:sz w:val="28"/>
              <w:szCs w:val="24"/>
            </w:rPr>
            <w:fldChar w:fldCharType="end"/>
          </w:r>
        </w:p>
        <w:p w14:paraId="3FC02364">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_Toc29795 </w:instrText>
          </w:r>
          <w:r>
            <w:rPr>
              <w:sz w:val="28"/>
              <w:szCs w:val="24"/>
            </w:rPr>
            <w:fldChar w:fldCharType="separate"/>
          </w:r>
          <w:r>
            <w:rPr>
              <w:rFonts w:hint="eastAsia" w:ascii="楷体_GB2312" w:hAnsi="楷体_GB2312" w:eastAsia="楷体_GB2312" w:cs="楷体_GB2312"/>
              <w:bCs/>
              <w:sz w:val="28"/>
              <w:szCs w:val="44"/>
              <w:lang w:val="en-US" w:eastAsia="zh-CN"/>
            </w:rPr>
            <w:t>（二）合理分配自评表分值</w:t>
          </w:r>
          <w:r>
            <w:rPr>
              <w:sz w:val="28"/>
              <w:szCs w:val="24"/>
            </w:rPr>
            <w:tab/>
          </w:r>
          <w:r>
            <w:rPr>
              <w:sz w:val="28"/>
              <w:szCs w:val="24"/>
            </w:rPr>
            <w:fldChar w:fldCharType="begin"/>
          </w:r>
          <w:r>
            <w:rPr>
              <w:sz w:val="28"/>
              <w:szCs w:val="24"/>
            </w:rPr>
            <w:instrText xml:space="preserve"> PAGEREF _Toc29795 \h </w:instrText>
          </w:r>
          <w:r>
            <w:rPr>
              <w:sz w:val="28"/>
              <w:szCs w:val="24"/>
            </w:rPr>
            <w:fldChar w:fldCharType="separate"/>
          </w:r>
          <w:r>
            <w:rPr>
              <w:sz w:val="28"/>
              <w:szCs w:val="24"/>
            </w:rPr>
            <w:t>16</w:t>
          </w:r>
          <w:r>
            <w:rPr>
              <w:sz w:val="28"/>
              <w:szCs w:val="24"/>
            </w:rPr>
            <w:fldChar w:fldCharType="end"/>
          </w:r>
          <w:r>
            <w:rPr>
              <w:sz w:val="28"/>
              <w:szCs w:val="24"/>
            </w:rPr>
            <w:fldChar w:fldCharType="end"/>
          </w:r>
        </w:p>
        <w:p w14:paraId="58535CE3">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_Toc25401 </w:instrText>
          </w:r>
          <w:r>
            <w:rPr>
              <w:sz w:val="28"/>
              <w:szCs w:val="24"/>
            </w:rPr>
            <w:fldChar w:fldCharType="separate"/>
          </w:r>
          <w:r>
            <w:rPr>
              <w:rFonts w:hint="eastAsia" w:ascii="楷体_GB2312" w:hAnsi="楷体_GB2312" w:eastAsia="楷体_GB2312" w:cs="楷体_GB2312"/>
              <w:bCs/>
              <w:sz w:val="28"/>
              <w:szCs w:val="44"/>
              <w:lang w:val="en-US" w:eastAsia="zh-CN"/>
            </w:rPr>
            <w:t>（三）按照部门制定的《采购管理制度》中的相关规定履行采购手续</w:t>
          </w:r>
          <w:r>
            <w:rPr>
              <w:sz w:val="28"/>
              <w:szCs w:val="24"/>
            </w:rPr>
            <w:tab/>
          </w:r>
          <w:r>
            <w:rPr>
              <w:sz w:val="28"/>
              <w:szCs w:val="24"/>
            </w:rPr>
            <w:fldChar w:fldCharType="begin"/>
          </w:r>
          <w:r>
            <w:rPr>
              <w:sz w:val="28"/>
              <w:szCs w:val="24"/>
            </w:rPr>
            <w:instrText xml:space="preserve"> PAGEREF _Toc25401 \h </w:instrText>
          </w:r>
          <w:r>
            <w:rPr>
              <w:sz w:val="28"/>
              <w:szCs w:val="24"/>
            </w:rPr>
            <w:fldChar w:fldCharType="separate"/>
          </w:r>
          <w:r>
            <w:rPr>
              <w:sz w:val="28"/>
              <w:szCs w:val="24"/>
            </w:rPr>
            <w:t>16</w:t>
          </w:r>
          <w:r>
            <w:rPr>
              <w:sz w:val="28"/>
              <w:szCs w:val="24"/>
            </w:rPr>
            <w:fldChar w:fldCharType="end"/>
          </w:r>
          <w:r>
            <w:rPr>
              <w:sz w:val="28"/>
              <w:szCs w:val="24"/>
            </w:rPr>
            <w:fldChar w:fldCharType="end"/>
          </w:r>
        </w:p>
        <w:p w14:paraId="23B75943">
          <w:pPr>
            <w:pStyle w:val="28"/>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_Toc32039 </w:instrText>
          </w:r>
          <w:r>
            <w:rPr>
              <w:sz w:val="28"/>
              <w:szCs w:val="24"/>
            </w:rPr>
            <w:fldChar w:fldCharType="separate"/>
          </w:r>
          <w:r>
            <w:rPr>
              <w:rFonts w:hint="eastAsia" w:ascii="楷体_GB2312" w:hAnsi="楷体_GB2312" w:eastAsia="楷体_GB2312" w:cs="楷体_GB2312"/>
              <w:bCs/>
              <w:sz w:val="28"/>
              <w:szCs w:val="44"/>
              <w:lang w:val="en-US" w:eastAsia="zh-CN"/>
            </w:rPr>
            <w:t>（四）项目完成时及时组织验收</w:t>
          </w:r>
          <w:r>
            <w:rPr>
              <w:sz w:val="28"/>
              <w:szCs w:val="24"/>
            </w:rPr>
            <w:tab/>
          </w:r>
          <w:r>
            <w:rPr>
              <w:sz w:val="28"/>
              <w:szCs w:val="24"/>
            </w:rPr>
            <w:fldChar w:fldCharType="begin"/>
          </w:r>
          <w:r>
            <w:rPr>
              <w:sz w:val="28"/>
              <w:szCs w:val="24"/>
            </w:rPr>
            <w:instrText xml:space="preserve"> PAGEREF _Toc32039 \h </w:instrText>
          </w:r>
          <w:r>
            <w:rPr>
              <w:sz w:val="28"/>
              <w:szCs w:val="24"/>
            </w:rPr>
            <w:fldChar w:fldCharType="separate"/>
          </w:r>
          <w:r>
            <w:rPr>
              <w:sz w:val="28"/>
              <w:szCs w:val="24"/>
            </w:rPr>
            <w:t>16</w:t>
          </w:r>
          <w:r>
            <w:rPr>
              <w:sz w:val="28"/>
              <w:szCs w:val="24"/>
            </w:rPr>
            <w:fldChar w:fldCharType="end"/>
          </w:r>
          <w:r>
            <w:rPr>
              <w:sz w:val="28"/>
              <w:szCs w:val="24"/>
            </w:rPr>
            <w:fldChar w:fldCharType="end"/>
          </w:r>
        </w:p>
        <w:p w14:paraId="54705C5B">
          <w:pPr>
            <w:pStyle w:val="22"/>
            <w:keepNext w:val="0"/>
            <w:keepLines w:val="0"/>
            <w:pageBreakBefore w:val="0"/>
            <w:widowControl w:val="0"/>
            <w:tabs>
              <w:tab w:val="right" w:leader="dot" w:pos="8250"/>
            </w:tabs>
            <w:kinsoku/>
            <w:wordWrap/>
            <w:overflowPunct/>
            <w:topLinePunct w:val="0"/>
            <w:autoSpaceDE/>
            <w:autoSpaceDN/>
            <w:bidi w:val="0"/>
            <w:adjustRightInd/>
            <w:snapToGrid/>
            <w:spacing w:line="360" w:lineRule="auto"/>
            <w:textAlignment w:val="auto"/>
            <w:rPr>
              <w:sz w:val="28"/>
              <w:szCs w:val="24"/>
            </w:rPr>
          </w:pPr>
          <w:r>
            <w:rPr>
              <w:sz w:val="28"/>
              <w:szCs w:val="24"/>
            </w:rPr>
            <w:fldChar w:fldCharType="begin"/>
          </w:r>
          <w:r>
            <w:rPr>
              <w:sz w:val="28"/>
              <w:szCs w:val="24"/>
            </w:rPr>
            <w:instrText xml:space="preserve"> HYPERLINK \l _Toc641 </w:instrText>
          </w:r>
          <w:r>
            <w:rPr>
              <w:sz w:val="28"/>
              <w:szCs w:val="24"/>
            </w:rPr>
            <w:fldChar w:fldCharType="separate"/>
          </w:r>
          <w:r>
            <w:rPr>
              <w:rFonts w:hint="eastAsia" w:ascii="仿宋" w:hAnsi="仿宋" w:eastAsia="仿宋" w:cs="仿宋"/>
              <w:sz w:val="28"/>
              <w:szCs w:val="44"/>
              <w:highlight w:val="none"/>
            </w:rPr>
            <w:t>附</w:t>
          </w:r>
          <w:r>
            <w:rPr>
              <w:rFonts w:hint="eastAsia" w:ascii="仿宋" w:hAnsi="仿宋" w:eastAsia="仿宋" w:cs="仿宋"/>
              <w:sz w:val="28"/>
              <w:szCs w:val="44"/>
              <w:highlight w:val="none"/>
              <w:lang w:val="en-US" w:eastAsia="zh-CN"/>
            </w:rPr>
            <w:t>件</w:t>
          </w:r>
          <w:r>
            <w:rPr>
              <w:rFonts w:hint="eastAsia" w:ascii="仿宋" w:hAnsi="仿宋" w:eastAsia="仿宋" w:cs="仿宋"/>
              <w:sz w:val="28"/>
              <w:szCs w:val="44"/>
              <w:highlight w:val="none"/>
            </w:rPr>
            <w:t>1.项目绩效评价指标体系打分表</w:t>
          </w:r>
          <w:r>
            <w:rPr>
              <w:sz w:val="28"/>
              <w:szCs w:val="24"/>
            </w:rPr>
            <w:tab/>
          </w:r>
          <w:r>
            <w:rPr>
              <w:sz w:val="28"/>
              <w:szCs w:val="24"/>
            </w:rPr>
            <w:fldChar w:fldCharType="begin"/>
          </w:r>
          <w:r>
            <w:rPr>
              <w:sz w:val="28"/>
              <w:szCs w:val="24"/>
            </w:rPr>
            <w:instrText xml:space="preserve"> PAGEREF _Toc641 \h </w:instrText>
          </w:r>
          <w:r>
            <w:rPr>
              <w:sz w:val="28"/>
              <w:szCs w:val="24"/>
            </w:rPr>
            <w:fldChar w:fldCharType="separate"/>
          </w:r>
          <w:r>
            <w:rPr>
              <w:sz w:val="28"/>
              <w:szCs w:val="24"/>
            </w:rPr>
            <w:t>16</w:t>
          </w:r>
          <w:r>
            <w:rPr>
              <w:sz w:val="28"/>
              <w:szCs w:val="24"/>
            </w:rPr>
            <w:fldChar w:fldCharType="end"/>
          </w:r>
          <w:r>
            <w:rPr>
              <w:sz w:val="28"/>
              <w:szCs w:val="24"/>
            </w:rPr>
            <w:fldChar w:fldCharType="end"/>
          </w:r>
        </w:p>
        <w:p w14:paraId="224B67F1">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rPr>
            <w:fldChar w:fldCharType="end"/>
          </w:r>
          <w:bookmarkStart w:id="3" w:name="_Toc7428"/>
        </w:p>
      </w:sdtContent>
    </w:sdt>
    <w:p w14:paraId="51667DF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fmt="decimal" w:start="1"/>
          <w:cols w:space="720" w:num="1"/>
          <w:docGrid w:linePitch="360" w:charSpace="0"/>
        </w:sectPr>
      </w:pPr>
    </w:p>
    <w:p w14:paraId="0A799375">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3739"/>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27BCC126">
      <w:pPr>
        <w:widowControl/>
        <w:spacing w:line="600" w:lineRule="exact"/>
        <w:ind w:firstLine="640"/>
        <w:rPr>
          <w:rFonts w:ascii="仿宋" w:hAnsi="仿宋" w:eastAsia="仿宋" w:cs="仿宋"/>
          <w:sz w:val="32"/>
          <w:szCs w:val="32"/>
        </w:rPr>
      </w:pPr>
      <w:r>
        <w:rPr>
          <w:rFonts w:hint="eastAsia" w:ascii="仿宋" w:hAnsi="仿宋" w:eastAsia="仿宋" w:cs="仿宋"/>
          <w:sz w:val="32"/>
          <w:szCs w:val="32"/>
        </w:rPr>
        <w:t>为保障比亚迪汽车线束生产线项目顺利进行，改善员工工作环境，增强卫生意识，根据2023年第一次扶风县人民政府常务会议纪要提出：同意比亚迪汽车线束生产线项目租赁厂房按照《扶风县招商引流优惠政策办法（试行）》有关规定执行，扶风县新兴产业集聚服务中心提出实施</w:t>
      </w:r>
      <w:r>
        <w:rPr>
          <w:rFonts w:hint="eastAsia" w:ascii="仿宋" w:hAnsi="仿宋" w:eastAsia="仿宋" w:cs="仿宋"/>
          <w:sz w:val="32"/>
          <w:szCs w:val="32"/>
          <w:highlight w:val="none"/>
        </w:rPr>
        <w:t>比亚迪汽车线束生产线项目卫生间工程补助</w:t>
      </w:r>
      <w:r>
        <w:rPr>
          <w:rFonts w:hint="eastAsia" w:ascii="仿宋" w:hAnsi="仿宋" w:eastAsia="仿宋" w:cs="仿宋"/>
          <w:sz w:val="32"/>
          <w:szCs w:val="32"/>
        </w:rPr>
        <w:t>项目。</w:t>
      </w:r>
      <w:r>
        <w:rPr>
          <w:rFonts w:hint="eastAsia" w:ascii="仿宋" w:hAnsi="仿宋" w:eastAsia="仿宋" w:cs="仿宋"/>
          <w:sz w:val="32"/>
          <w:szCs w:val="32"/>
          <w:highlight w:val="none"/>
        </w:rPr>
        <w:t>项目主管部门为扶风县新兴产业集聚服务中心</w:t>
      </w:r>
      <w:r>
        <w:rPr>
          <w:rFonts w:hint="eastAsia" w:ascii="仿宋" w:hAnsi="仿宋" w:eastAsia="仿宋" w:cs="仿宋"/>
          <w:sz w:val="32"/>
          <w:szCs w:val="32"/>
        </w:rPr>
        <w:t>，由扶风县新兴产业集聚服务中心实施。项目预算资金392.</w:t>
      </w:r>
      <w:r>
        <w:rPr>
          <w:rFonts w:hint="eastAsia" w:ascii="仿宋" w:hAnsi="仿宋" w:eastAsia="仿宋" w:cs="仿宋"/>
          <w:sz w:val="32"/>
          <w:szCs w:val="32"/>
          <w:lang w:val="en-US" w:eastAsia="zh-CN"/>
        </w:rPr>
        <w:t>59</w:t>
      </w:r>
      <w:r>
        <w:rPr>
          <w:rFonts w:hint="eastAsia" w:ascii="仿宋" w:hAnsi="仿宋" w:eastAsia="仿宋" w:cs="仿宋"/>
          <w:sz w:val="32"/>
          <w:szCs w:val="32"/>
        </w:rPr>
        <w:t>万元，项目到位资金392.</w:t>
      </w:r>
      <w:r>
        <w:rPr>
          <w:rFonts w:hint="eastAsia" w:ascii="仿宋" w:hAnsi="仿宋" w:eastAsia="仿宋" w:cs="仿宋"/>
          <w:sz w:val="32"/>
          <w:szCs w:val="32"/>
          <w:lang w:val="en-US" w:eastAsia="zh-CN"/>
        </w:rPr>
        <w:t>59</w:t>
      </w:r>
      <w:r>
        <w:rPr>
          <w:rFonts w:hint="eastAsia" w:ascii="仿宋" w:hAnsi="仿宋" w:eastAsia="仿宋" w:cs="仿宋"/>
          <w:sz w:val="32"/>
          <w:szCs w:val="32"/>
        </w:rPr>
        <w:t>万元，项目资金支付392.</w:t>
      </w:r>
      <w:r>
        <w:rPr>
          <w:rFonts w:hint="eastAsia" w:ascii="仿宋" w:hAnsi="仿宋" w:eastAsia="仿宋" w:cs="仿宋"/>
          <w:sz w:val="32"/>
          <w:szCs w:val="32"/>
          <w:lang w:val="en-US" w:eastAsia="zh-CN"/>
        </w:rPr>
        <w:t>59</w:t>
      </w:r>
      <w:r>
        <w:rPr>
          <w:rFonts w:hint="eastAsia" w:ascii="仿宋" w:hAnsi="仿宋" w:eastAsia="仿宋" w:cs="仿宋"/>
          <w:sz w:val="32"/>
          <w:szCs w:val="32"/>
        </w:rPr>
        <w:t>万元，项目结余资金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85FB52D">
      <w:pPr>
        <w:spacing w:line="600" w:lineRule="exact"/>
        <w:ind w:firstLine="640"/>
        <w:rPr>
          <w:rFonts w:ascii="仿宋" w:hAnsi="仿宋" w:eastAsia="仿宋" w:cs="仿宋"/>
          <w:sz w:val="32"/>
          <w:szCs w:val="32"/>
        </w:rPr>
      </w:pPr>
      <w:r>
        <w:rPr>
          <w:rFonts w:hint="eastAsia" w:ascii="仿宋" w:hAnsi="仿宋" w:eastAsia="仿宋" w:cs="仿宋"/>
          <w:sz w:val="32"/>
          <w:szCs w:val="32"/>
        </w:rPr>
        <w:t>按照确定的评分细则，对各项指标逐一评价打分，比亚迪汽车线束生产线项目卫生间工程补助款绩效评价得分为</w:t>
      </w:r>
      <w:r>
        <w:rPr>
          <w:rFonts w:hint="eastAsia" w:ascii="仿宋" w:hAnsi="仿宋" w:eastAsia="仿宋" w:cs="仿宋"/>
          <w:sz w:val="32"/>
          <w:szCs w:val="32"/>
          <w:lang w:val="en-US" w:eastAsia="zh-CN"/>
        </w:rPr>
        <w:t>82.5</w:t>
      </w:r>
      <w:r>
        <w:rPr>
          <w:rFonts w:hint="eastAsia" w:ascii="仿宋" w:hAnsi="仿宋" w:eastAsia="仿宋" w:cs="仿宋"/>
          <w:sz w:val="32"/>
          <w:szCs w:val="32"/>
        </w:rPr>
        <w:t>分，评价结果等级为“</w:t>
      </w:r>
      <w:r>
        <w:rPr>
          <w:rFonts w:hint="eastAsia" w:ascii="仿宋" w:hAnsi="仿宋" w:eastAsia="仿宋" w:cs="仿宋"/>
          <w:sz w:val="32"/>
          <w:szCs w:val="32"/>
          <w:lang w:val="en-US" w:eastAsia="zh-CN"/>
        </w:rPr>
        <w:t>良</w:t>
      </w:r>
      <w:r>
        <w:rPr>
          <w:rFonts w:hint="eastAsia" w:ascii="仿宋" w:hAnsi="仿宋" w:eastAsia="仿宋" w:cs="仿宋"/>
          <w:sz w:val="32"/>
          <w:szCs w:val="32"/>
        </w:rPr>
        <w:t>”。</w:t>
      </w:r>
    </w:p>
    <w:p w14:paraId="15CF144C">
      <w:pPr>
        <w:spacing w:line="600" w:lineRule="exact"/>
        <w:ind w:firstLine="640"/>
        <w:rPr>
          <w:rFonts w:ascii="仿宋" w:hAnsi="仿宋" w:eastAsia="仿宋" w:cs="仿宋"/>
          <w:sz w:val="32"/>
          <w:szCs w:val="32"/>
        </w:rPr>
      </w:pPr>
      <w:r>
        <w:rPr>
          <w:rFonts w:hint="eastAsia" w:ascii="仿宋" w:hAnsi="仿宋" w:eastAsia="仿宋" w:cs="仿宋"/>
          <w:sz w:val="32"/>
          <w:szCs w:val="32"/>
        </w:rPr>
        <w:t>存在的问题：①项目没有设置具体的绩效指标；③自评表得分不正确。</w:t>
      </w:r>
    </w:p>
    <w:p w14:paraId="3C60F22A">
      <w:pPr>
        <w:spacing w:line="600" w:lineRule="exact"/>
        <w:ind w:firstLine="640"/>
        <w:rPr>
          <w:rFonts w:ascii="仿宋" w:hAnsi="仿宋" w:eastAsia="仿宋" w:cs="仿宋"/>
          <w:sz w:val="32"/>
          <w:szCs w:val="32"/>
        </w:rPr>
        <w:sectPr>
          <w:footerReference r:id="rId5" w:type="default"/>
          <w:pgSz w:w="11850" w:h="16783"/>
          <w:pgMar w:top="1440" w:right="1800" w:bottom="1440" w:left="1800" w:header="567" w:footer="992" w:gutter="0"/>
          <w:pgNumType w:fmt="decimal" w:start="1"/>
          <w:cols w:space="720" w:num="1"/>
          <w:docGrid w:linePitch="360" w:charSpace="0"/>
        </w:sectPr>
      </w:pPr>
      <w:r>
        <w:rPr>
          <w:rFonts w:hint="eastAsia" w:ascii="仿宋" w:hAnsi="仿宋" w:eastAsia="仿宋" w:cs="仿宋"/>
          <w:sz w:val="32"/>
          <w:szCs w:val="32"/>
        </w:rPr>
        <w:t>具体内容详见报告正文。</w:t>
      </w:r>
    </w:p>
    <w:p w14:paraId="0A788AB8">
      <w:pPr>
        <w:spacing w:line="600" w:lineRule="exact"/>
        <w:ind w:firstLine="723"/>
        <w:jc w:val="center"/>
        <w:outlineLvl w:val="9"/>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比亚迪汽车线束生产线项目卫生间工程补助</w:t>
      </w:r>
    </w:p>
    <w:p w14:paraId="4A1427D4">
      <w:pPr>
        <w:spacing w:line="600" w:lineRule="exact"/>
        <w:ind w:firstLine="723"/>
        <w:jc w:val="center"/>
        <w:outlineLvl w:val="9"/>
        <w:rPr>
          <w:b/>
          <w:bCs/>
        </w:rPr>
      </w:pPr>
      <w:bookmarkStart w:id="5" w:name="_Toc3207"/>
      <w:bookmarkStart w:id="6" w:name="_Toc3198"/>
      <w:r>
        <w:rPr>
          <w:rFonts w:hint="eastAsia" w:ascii="方正小标宋_GBK" w:hAnsi="方正小标宋_GBK" w:eastAsia="方正小标宋_GBK" w:cs="方正小标宋_GBK"/>
          <w:b/>
          <w:bCs/>
          <w:sz w:val="36"/>
          <w:szCs w:val="36"/>
        </w:rPr>
        <w:t>绩效评价报告</w:t>
      </w:r>
      <w:bookmarkEnd w:id="5"/>
      <w:bookmarkEnd w:id="6"/>
    </w:p>
    <w:p w14:paraId="007DB3D8">
      <w:pPr>
        <w:spacing w:line="600" w:lineRule="exact"/>
        <w:ind w:firstLine="640"/>
        <w:rPr>
          <w:rFonts w:ascii="仿宋" w:hAnsi="仿宋" w:eastAsia="仿宋" w:cs="仿宋"/>
          <w:sz w:val="32"/>
          <w:szCs w:val="32"/>
        </w:rPr>
      </w:pPr>
      <w:bookmarkStart w:id="7" w:name="_Toc12937"/>
      <w:bookmarkStart w:id="8" w:name="_Toc9863"/>
      <w:bookmarkStart w:id="9" w:name="_Toc23524"/>
      <w:r>
        <w:rPr>
          <w:rFonts w:hint="eastAsia" w:ascii="仿宋" w:hAnsi="仿宋" w:eastAsia="仿宋" w:cs="仿宋"/>
          <w:sz w:val="32"/>
          <w:szCs w:val="32"/>
        </w:rPr>
        <w:t>为进一步加强财政资金管理，强化支出责任和效率意识，增加财政资金的使用效益，更好</w:t>
      </w:r>
      <w:r>
        <w:rPr>
          <w:rFonts w:hint="eastAsia" w:ascii="仿宋" w:hAnsi="仿宋" w:eastAsia="仿宋" w:cs="仿宋"/>
          <w:sz w:val="32"/>
          <w:szCs w:val="32"/>
          <w:lang w:val="en-US" w:eastAsia="zh-CN"/>
        </w:rPr>
        <w:t>地</w:t>
      </w:r>
      <w:r>
        <w:rPr>
          <w:rFonts w:hint="eastAsia" w:ascii="仿宋" w:hAnsi="仿宋" w:eastAsia="仿宋" w:cs="仿宋"/>
          <w:sz w:val="32"/>
          <w:szCs w:val="32"/>
        </w:rPr>
        <w:t>优化资源配置，控制节约成本、提升公共产品质量和公共服务水平，扶风县财政局组织开展了2023</w:t>
      </w:r>
      <w:r>
        <w:rPr>
          <w:rFonts w:hint="eastAsia" w:ascii="仿宋" w:hAnsi="仿宋" w:eastAsia="仿宋" w:cs="仿宋"/>
          <w:sz w:val="32"/>
          <w:szCs w:val="32"/>
          <w:lang w:val="en-US" w:eastAsia="zh-CN"/>
        </w:rPr>
        <w:t>年</w:t>
      </w:r>
      <w:r>
        <w:rPr>
          <w:rFonts w:hint="eastAsia" w:ascii="仿宋" w:hAnsi="仿宋" w:eastAsia="仿宋" w:cs="仿宋"/>
          <w:sz w:val="32"/>
          <w:szCs w:val="32"/>
        </w:rPr>
        <w:t>财政专项资金重点项目绩效评价工作。于2024</w:t>
      </w:r>
      <w:r>
        <w:rPr>
          <w:rFonts w:hint="eastAsia" w:ascii="仿宋" w:hAnsi="仿宋" w:eastAsia="仿宋" w:cs="仿宋"/>
          <w:sz w:val="32"/>
          <w:szCs w:val="32"/>
          <w:lang w:val="en-US" w:eastAsia="zh-CN"/>
        </w:rPr>
        <w:t>年</w:t>
      </w:r>
      <w:r>
        <w:rPr>
          <w:rFonts w:hint="eastAsia" w:ascii="仿宋" w:hAnsi="仿宋" w:eastAsia="仿宋" w:cs="仿宋"/>
          <w:sz w:val="32"/>
          <w:szCs w:val="32"/>
        </w:rPr>
        <w:t>5</w:t>
      </w:r>
      <w:r>
        <w:rPr>
          <w:rFonts w:hint="eastAsia" w:ascii="仿宋" w:hAnsi="仿宋" w:eastAsia="仿宋" w:cs="仿宋"/>
          <w:sz w:val="32"/>
          <w:szCs w:val="32"/>
          <w:lang w:val="en-US" w:eastAsia="zh-CN"/>
        </w:rPr>
        <w:t>月</w:t>
      </w:r>
      <w:r>
        <w:rPr>
          <w:rFonts w:hint="eastAsia" w:ascii="仿宋" w:hAnsi="仿宋" w:eastAsia="仿宋" w:cs="仿宋"/>
          <w:sz w:val="32"/>
          <w:szCs w:val="32"/>
        </w:rPr>
        <w:t>13</w:t>
      </w:r>
      <w:r>
        <w:rPr>
          <w:rFonts w:hint="eastAsia" w:ascii="仿宋" w:hAnsi="仿宋" w:eastAsia="仿宋" w:cs="仿宋"/>
          <w:sz w:val="32"/>
          <w:szCs w:val="32"/>
          <w:lang w:val="en-US" w:eastAsia="zh-CN"/>
        </w:rPr>
        <w:t>日</w:t>
      </w:r>
      <w:r>
        <w:rPr>
          <w:rFonts w:hint="eastAsia" w:ascii="仿宋" w:hAnsi="仿宋" w:eastAsia="仿宋" w:cs="仿宋"/>
          <w:sz w:val="32"/>
          <w:szCs w:val="32"/>
        </w:rPr>
        <w:t>至2024</w:t>
      </w:r>
      <w:r>
        <w:rPr>
          <w:rFonts w:hint="eastAsia" w:ascii="仿宋" w:hAnsi="仿宋" w:eastAsia="仿宋" w:cs="仿宋"/>
          <w:sz w:val="32"/>
          <w:szCs w:val="32"/>
          <w:lang w:val="en-US" w:eastAsia="zh-CN"/>
        </w:rPr>
        <w:t>年</w:t>
      </w:r>
      <w:r>
        <w:rPr>
          <w:rFonts w:hint="eastAsia" w:ascii="仿宋" w:hAnsi="仿宋" w:eastAsia="仿宋" w:cs="仿宋"/>
          <w:sz w:val="32"/>
          <w:szCs w:val="32"/>
        </w:rPr>
        <w:t>6</w:t>
      </w:r>
      <w:r>
        <w:rPr>
          <w:rFonts w:hint="eastAsia" w:ascii="仿宋" w:hAnsi="仿宋" w:eastAsia="仿宋" w:cs="仿宋"/>
          <w:sz w:val="32"/>
          <w:szCs w:val="32"/>
          <w:lang w:val="en-US" w:eastAsia="zh-CN"/>
        </w:rPr>
        <w:t>月</w:t>
      </w:r>
      <w:r>
        <w:rPr>
          <w:rFonts w:hint="eastAsia" w:ascii="仿宋" w:hAnsi="仿宋" w:eastAsia="仿宋" w:cs="仿宋"/>
          <w:sz w:val="32"/>
          <w:szCs w:val="32"/>
        </w:rPr>
        <w:t>17</w:t>
      </w:r>
      <w:r>
        <w:rPr>
          <w:rFonts w:hint="eastAsia" w:ascii="仿宋" w:hAnsi="仿宋" w:eastAsia="仿宋" w:cs="仿宋"/>
          <w:sz w:val="32"/>
          <w:szCs w:val="32"/>
          <w:lang w:val="en-US" w:eastAsia="zh-CN"/>
        </w:rPr>
        <w:t>日</w:t>
      </w:r>
      <w:r>
        <w:rPr>
          <w:rFonts w:hint="eastAsia" w:ascii="仿宋" w:hAnsi="仿宋" w:eastAsia="仿宋" w:cs="仿宋"/>
          <w:sz w:val="32"/>
          <w:szCs w:val="32"/>
        </w:rPr>
        <w:t>，对比亚迪汽车线束生产线项目卫生间工程补助进行绩效评价。现将评价情况报告如下：</w:t>
      </w:r>
    </w:p>
    <w:p w14:paraId="1F45E10D">
      <w:pPr>
        <w:spacing w:before="104" w:line="600" w:lineRule="exact"/>
        <w:ind w:firstLine="672"/>
        <w:outlineLvl w:val="0"/>
        <w:rPr>
          <w:rFonts w:ascii="黑体" w:hAnsi="黑体" w:eastAsia="黑体" w:cs="黑体"/>
          <w:spacing w:val="-2"/>
          <w:sz w:val="32"/>
          <w:szCs w:val="32"/>
        </w:rPr>
      </w:pPr>
      <w:bookmarkStart w:id="10" w:name="_Toc32386"/>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2304E55F">
      <w:pPr>
        <w:spacing w:line="600" w:lineRule="exact"/>
        <w:ind w:firstLine="643"/>
        <w:outlineLvl w:val="1"/>
        <w:rPr>
          <w:rFonts w:ascii="楷体" w:hAnsi="楷体" w:eastAsia="楷体" w:cs="楷体"/>
          <w:b/>
          <w:bCs/>
          <w:sz w:val="32"/>
          <w:szCs w:val="32"/>
        </w:rPr>
      </w:pPr>
      <w:bookmarkStart w:id="11" w:name="_Toc3001"/>
      <w:bookmarkStart w:id="12" w:name="_Toc17673"/>
      <w:bookmarkStart w:id="13" w:name="_Toc22255"/>
      <w:bookmarkStart w:id="14" w:name="_Toc24850"/>
      <w:r>
        <w:rPr>
          <w:rFonts w:hint="eastAsia" w:ascii="楷体" w:hAnsi="楷体" w:eastAsia="楷体" w:cs="楷体"/>
          <w:b/>
          <w:bCs/>
          <w:sz w:val="32"/>
          <w:szCs w:val="32"/>
        </w:rPr>
        <w:t>（一）</w:t>
      </w:r>
      <w:bookmarkEnd w:id="11"/>
      <w:r>
        <w:rPr>
          <w:rFonts w:hint="eastAsia" w:ascii="楷体" w:hAnsi="楷体" w:eastAsia="楷体" w:cs="楷体"/>
          <w:b/>
          <w:bCs/>
          <w:sz w:val="32"/>
          <w:szCs w:val="32"/>
        </w:rPr>
        <w:t>项目概况</w:t>
      </w:r>
      <w:bookmarkEnd w:id="12"/>
      <w:bookmarkEnd w:id="13"/>
      <w:bookmarkEnd w:id="14"/>
    </w:p>
    <w:p w14:paraId="6AB095B7">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216C2ADE">
      <w:pPr>
        <w:spacing w:line="600" w:lineRule="exact"/>
        <w:ind w:firstLine="640"/>
      </w:pPr>
      <w:r>
        <w:rPr>
          <w:rFonts w:ascii="仿宋" w:hAnsi="仿宋" w:eastAsia="仿宋" w:cs="仿宋"/>
          <w:sz w:val="32"/>
          <w:szCs w:val="32"/>
        </w:rPr>
        <w:t>为保障比亚迪汽车线束生产线项目顺利进行，改善员工工作环境，增强卫生意识，根据2023年第一次扶风县人民政府常务会议纪要提出：同意比亚迪汽车线束生产线项目租赁厂房按照《扶风县招商引流优惠政策办法（试行）》有关规定执行，扶风县新兴产业集聚服务中心提出实施</w:t>
      </w:r>
      <w:r>
        <w:rPr>
          <w:rFonts w:hint="eastAsia" w:ascii="仿宋" w:hAnsi="仿宋" w:eastAsia="仿宋" w:cs="仿宋"/>
          <w:sz w:val="32"/>
          <w:szCs w:val="32"/>
        </w:rPr>
        <w:t>比亚迪汽车线束生产线项目卫生间工程补助</w:t>
      </w:r>
      <w:r>
        <w:rPr>
          <w:rFonts w:ascii="仿宋" w:hAnsi="仿宋" w:eastAsia="仿宋" w:cs="仿宋"/>
          <w:sz w:val="32"/>
          <w:szCs w:val="32"/>
        </w:rPr>
        <w:t>项目。</w:t>
      </w:r>
    </w:p>
    <w:p w14:paraId="6C26CC77">
      <w:pPr>
        <w:spacing w:line="600" w:lineRule="exact"/>
        <w:ind w:firstLine="643"/>
        <w:outlineLvl w:val="9"/>
        <w:rPr>
          <w:rFonts w:ascii="仿宋" w:hAnsi="仿宋" w:cs="仿宋"/>
          <w:b/>
          <w:bCs/>
          <w:sz w:val="32"/>
          <w:szCs w:val="32"/>
        </w:rPr>
      </w:pPr>
      <w:bookmarkStart w:id="15" w:name="_Toc2902"/>
      <w:bookmarkStart w:id="16" w:name="_Toc19838"/>
      <w:bookmarkStart w:id="17" w:name="_Toc30940"/>
      <w:bookmarkStart w:id="18" w:name="_Toc5307_WPSOffice_Level2"/>
      <w:bookmarkStart w:id="19" w:name="_Toc6691"/>
      <w:bookmarkStart w:id="20" w:name="_Toc24420"/>
      <w:r>
        <w:rPr>
          <w:rFonts w:hint="eastAsia" w:ascii="仿宋" w:hAnsi="仿宋" w:cs="仿宋"/>
          <w:b/>
          <w:bCs/>
          <w:sz w:val="32"/>
          <w:szCs w:val="32"/>
        </w:rPr>
        <w:t>2.项目主要内容</w:t>
      </w:r>
    </w:p>
    <w:p w14:paraId="596D185D">
      <w:pPr>
        <w:spacing w:line="600" w:lineRule="exact"/>
        <w:ind w:firstLine="640"/>
        <w:rPr>
          <w:rFonts w:ascii="仿宋" w:hAnsi="仿宋" w:eastAsia="仿宋" w:cs="仿宋"/>
          <w:sz w:val="32"/>
          <w:szCs w:val="32"/>
        </w:rPr>
      </w:pPr>
      <w:r>
        <w:rPr>
          <w:rFonts w:hint="eastAsia" w:ascii="仿宋" w:hAnsi="仿宋" w:eastAsia="仿宋" w:cs="仿宋"/>
          <w:sz w:val="32"/>
          <w:szCs w:val="32"/>
        </w:rPr>
        <w:t>项目计划在租赁诺泰包装产业园二期的4栋标准化厂房中建设10个卫生间，以及室外排污工程。</w:t>
      </w:r>
    </w:p>
    <w:p w14:paraId="763592A6">
      <w:pPr>
        <w:pStyle w:val="190"/>
        <w:ind w:firstLine="640"/>
        <w:rPr>
          <w:rFonts w:ascii="仿宋" w:hAnsi="仿宋" w:eastAsia="仿宋" w:cs="仿宋"/>
          <w:sz w:val="32"/>
          <w:szCs w:val="32"/>
        </w:rPr>
      </w:pPr>
    </w:p>
    <w:p w14:paraId="5F3BE585">
      <w:pPr>
        <w:spacing w:line="600" w:lineRule="exact"/>
        <w:ind w:firstLine="643"/>
        <w:outlineLvl w:val="9"/>
        <w:rPr>
          <w:rFonts w:ascii="仿宋" w:hAnsi="仿宋" w:cs="仿宋"/>
          <w:b/>
          <w:bCs/>
          <w:sz w:val="32"/>
          <w:szCs w:val="32"/>
        </w:rPr>
      </w:pPr>
      <w:r>
        <w:rPr>
          <w:rFonts w:hint="eastAsia" w:ascii="仿宋" w:hAnsi="仿宋" w:cs="仿宋"/>
          <w:b/>
          <w:bCs/>
          <w:sz w:val="32"/>
          <w:szCs w:val="32"/>
        </w:rPr>
        <w:t>3.项目实施情况</w:t>
      </w:r>
    </w:p>
    <w:p w14:paraId="475DF299">
      <w:pPr>
        <w:spacing w:line="600" w:lineRule="exact"/>
        <w:ind w:firstLine="640"/>
        <w:rPr>
          <w:rFonts w:ascii="仿宋" w:hAnsi="仿宋" w:eastAsia="仿宋" w:cs="仿宋"/>
          <w:sz w:val="32"/>
          <w:szCs w:val="32"/>
        </w:rPr>
      </w:pPr>
      <w:r>
        <w:rPr>
          <w:rFonts w:hint="eastAsia" w:ascii="仿宋" w:hAnsi="仿宋" w:eastAsia="仿宋" w:cs="仿宋"/>
          <w:sz w:val="32"/>
          <w:szCs w:val="32"/>
        </w:rPr>
        <w:t>扶风县新兴产业集聚服务中心委托中科标禾工程项目管理有限公司通过公开招标确定泰诺工贸有限公司为项目的中标单位，负责项目的具体实施。</w:t>
      </w:r>
    </w:p>
    <w:p w14:paraId="1A3BEDA6">
      <w:pPr>
        <w:spacing w:line="600" w:lineRule="exact"/>
        <w:ind w:firstLine="643"/>
        <w:outlineLvl w:val="9"/>
        <w:rPr>
          <w:rFonts w:ascii="仿宋" w:hAnsi="仿宋" w:cs="仿宋"/>
          <w:b/>
          <w:bCs/>
          <w:sz w:val="32"/>
          <w:szCs w:val="32"/>
        </w:rPr>
      </w:pPr>
      <w:r>
        <w:rPr>
          <w:rFonts w:hint="eastAsia" w:ascii="仿宋" w:hAnsi="仿宋" w:cs="仿宋"/>
          <w:b/>
          <w:bCs/>
          <w:sz w:val="32"/>
          <w:szCs w:val="32"/>
        </w:rPr>
        <w:t>4.项目资金投入情况</w:t>
      </w:r>
    </w:p>
    <w:p w14:paraId="35A048EF">
      <w:pPr>
        <w:spacing w:line="600" w:lineRule="exact"/>
        <w:ind w:firstLine="640"/>
        <w:rPr>
          <w:rFonts w:ascii="仿宋" w:hAnsi="仿宋" w:eastAsia="仿宋" w:cs="仿宋"/>
          <w:sz w:val="32"/>
          <w:szCs w:val="32"/>
        </w:rPr>
      </w:pPr>
      <w:r>
        <w:rPr>
          <w:rFonts w:hint="eastAsia" w:ascii="仿宋" w:hAnsi="仿宋" w:eastAsia="仿宋" w:cs="仿宋"/>
          <w:sz w:val="32"/>
          <w:szCs w:val="32"/>
        </w:rPr>
        <w:t>扶风县财政局于2023年5月27日以《关于下达财政预算支出指标的通知》（扶财办预〔2023〕050号）向扶风县新兴产业集聚服务中心下达预算资金392.60万元。</w:t>
      </w:r>
    </w:p>
    <w:p w14:paraId="4D599732">
      <w:pPr>
        <w:spacing w:line="600" w:lineRule="exact"/>
        <w:ind w:firstLine="643"/>
        <w:outlineLvl w:val="9"/>
        <w:rPr>
          <w:rFonts w:ascii="仿宋" w:hAnsi="仿宋" w:cs="仿宋"/>
          <w:b/>
          <w:bCs/>
          <w:sz w:val="32"/>
          <w:szCs w:val="32"/>
        </w:rPr>
      </w:pPr>
      <w:r>
        <w:rPr>
          <w:rFonts w:hint="eastAsia" w:ascii="仿宋" w:hAnsi="仿宋" w:cs="仿宋"/>
          <w:b/>
          <w:bCs/>
          <w:sz w:val="32"/>
          <w:szCs w:val="32"/>
        </w:rPr>
        <w:t>5.项目支出和资金使用情况</w:t>
      </w:r>
    </w:p>
    <w:p w14:paraId="728FE0A9">
      <w:pPr>
        <w:spacing w:line="600" w:lineRule="exact"/>
        <w:ind w:firstLine="640"/>
      </w:pPr>
      <w:r>
        <w:rPr>
          <w:rFonts w:hint="eastAsia" w:ascii="仿宋" w:hAnsi="仿宋" w:eastAsia="仿宋" w:cs="仿宋"/>
          <w:sz w:val="32"/>
          <w:szCs w:val="32"/>
        </w:rPr>
        <w:t>项目实际到位资金392.59万元，截至2024年4月30日，项目实际支出资金392.59万元。</w:t>
      </w:r>
    </w:p>
    <w:p w14:paraId="4BDC505A">
      <w:pPr>
        <w:spacing w:line="600" w:lineRule="exact"/>
        <w:ind w:firstLine="643"/>
        <w:outlineLvl w:val="1"/>
        <w:rPr>
          <w:rFonts w:ascii="楷体" w:hAnsi="楷体" w:eastAsia="楷体" w:cs="楷体"/>
          <w:b/>
          <w:bCs/>
          <w:sz w:val="32"/>
          <w:szCs w:val="32"/>
        </w:rPr>
      </w:pPr>
      <w:bookmarkStart w:id="21" w:name="_Toc5870"/>
      <w:r>
        <w:rPr>
          <w:rFonts w:hint="eastAsia" w:ascii="楷体" w:hAnsi="楷体" w:eastAsia="楷体" w:cs="楷体"/>
          <w:b/>
          <w:bCs/>
          <w:sz w:val="32"/>
          <w:szCs w:val="32"/>
        </w:rPr>
        <w:t>（二）项目绩效目标</w:t>
      </w:r>
      <w:bookmarkEnd w:id="15"/>
      <w:bookmarkEnd w:id="16"/>
      <w:bookmarkEnd w:id="17"/>
      <w:bookmarkEnd w:id="21"/>
    </w:p>
    <w:bookmarkEnd w:id="18"/>
    <w:bookmarkEnd w:id="19"/>
    <w:bookmarkEnd w:id="20"/>
    <w:p w14:paraId="6A553FAB">
      <w:pPr>
        <w:spacing w:line="600" w:lineRule="exact"/>
        <w:ind w:firstLine="640"/>
        <w:rPr>
          <w:rFonts w:ascii="仿宋" w:hAnsi="仿宋" w:eastAsia="仿宋" w:cs="仿宋"/>
          <w:sz w:val="32"/>
          <w:szCs w:val="32"/>
        </w:rPr>
      </w:pPr>
      <w:bookmarkStart w:id="22" w:name="_Toc22895"/>
      <w:bookmarkStart w:id="23" w:name="_Toc25596"/>
      <w:bookmarkStart w:id="24" w:name="_Toc29537"/>
      <w:bookmarkStart w:id="25" w:name="_Toc16072"/>
      <w:bookmarkStart w:id="26" w:name="_Toc29155_WPSOffice_Level1"/>
      <w:bookmarkStart w:id="27" w:name="_Toc3241_WPSOffice_Level1"/>
      <w:bookmarkStart w:id="28" w:name="_Toc28175_WPSOffice_Level1"/>
      <w:bookmarkStart w:id="29" w:name="_Toc21915"/>
      <w:bookmarkStart w:id="30" w:name="_Toc8245_WPSOffice_Level1"/>
      <w:bookmarkStart w:id="31" w:name="_Hlk2370114"/>
      <w:bookmarkStart w:id="32" w:name="_Toc6828_WPSOffice_Level1"/>
      <w:bookmarkStart w:id="33" w:name="_Toc18785"/>
      <w:bookmarkStart w:id="34" w:name="_Toc28206"/>
      <w:bookmarkStart w:id="35" w:name="_Toc29074"/>
      <w:bookmarkStart w:id="36" w:name="_Toc11420_WPSOffice_Level1"/>
      <w:bookmarkStart w:id="37" w:name="_Toc751_WPSOffice_Level1"/>
      <w:bookmarkStart w:id="38" w:name="_Toc6281_WPSOffice_Level1"/>
      <w:r>
        <w:rPr>
          <w:rFonts w:hint="eastAsia" w:ascii="仿宋" w:hAnsi="仿宋" w:eastAsia="仿宋" w:cs="仿宋"/>
          <w:sz w:val="32"/>
          <w:szCs w:val="32"/>
        </w:rPr>
        <w:t>项目没有设置绩效目标。</w:t>
      </w:r>
    </w:p>
    <w:p w14:paraId="3DFEBC72">
      <w:pPr>
        <w:spacing w:before="104" w:line="600" w:lineRule="exact"/>
        <w:ind w:firstLine="672"/>
        <w:outlineLvl w:val="0"/>
        <w:rPr>
          <w:rFonts w:ascii="黑体" w:hAnsi="黑体" w:eastAsia="黑体" w:cs="黑体"/>
          <w:spacing w:val="-2"/>
          <w:sz w:val="32"/>
          <w:szCs w:val="32"/>
        </w:rPr>
      </w:pPr>
      <w:bookmarkStart w:id="39" w:name="_Toc14399"/>
      <w:r>
        <w:rPr>
          <w:rFonts w:hint="eastAsia" w:ascii="黑体" w:hAnsi="黑体" w:eastAsia="黑体" w:cs="黑体"/>
          <w:spacing w:val="-2"/>
          <w:sz w:val="32"/>
          <w:szCs w:val="32"/>
        </w:rPr>
        <w:t>二、绩效评价工作开展情况</w:t>
      </w:r>
      <w:bookmarkEnd w:id="22"/>
      <w:bookmarkEnd w:id="23"/>
      <w:bookmarkEnd w:id="39"/>
      <w:bookmarkStart w:id="40" w:name="_Toc4270"/>
      <w:bookmarkStart w:id="41" w:name="_Toc30013"/>
      <w:bookmarkStart w:id="42" w:name="_Toc1319"/>
      <w:bookmarkStart w:id="43" w:name="_Toc1360"/>
    </w:p>
    <w:p w14:paraId="30802CF7">
      <w:pPr>
        <w:spacing w:before="104" w:line="600" w:lineRule="exact"/>
        <w:ind w:firstLine="672"/>
        <w:outlineLvl w:val="1"/>
      </w:pPr>
      <w:bookmarkStart w:id="44" w:name="_Toc14591"/>
      <w:r>
        <w:rPr>
          <w:rFonts w:hint="eastAsia" w:ascii="楷体" w:hAnsi="楷体" w:eastAsia="楷体" w:cs="楷体"/>
          <w:b/>
          <w:bCs/>
          <w:sz w:val="32"/>
          <w:szCs w:val="32"/>
        </w:rPr>
        <w:t>（一）绩效评价目的</w:t>
      </w:r>
      <w:bookmarkEnd w:id="40"/>
      <w:bookmarkEnd w:id="41"/>
      <w:bookmarkEnd w:id="42"/>
      <w:r>
        <w:rPr>
          <w:rFonts w:hint="eastAsia" w:ascii="楷体" w:hAnsi="楷体" w:eastAsia="楷体" w:cs="楷体"/>
          <w:b/>
          <w:bCs/>
          <w:sz w:val="32"/>
          <w:szCs w:val="32"/>
        </w:rPr>
        <w:t>与重点</w:t>
      </w:r>
      <w:bookmarkEnd w:id="43"/>
      <w:bookmarkEnd w:id="44"/>
    </w:p>
    <w:p w14:paraId="2C8BEFD7">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本次绩效评价的对象为比亚迪汽车线束生产线项目卫生间工程补助款。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73BF5611">
      <w:pPr>
        <w:spacing w:line="600" w:lineRule="exact"/>
        <w:ind w:firstLine="640"/>
        <w:rPr>
          <w:rFonts w:ascii="仿宋" w:hAnsi="仿宋" w:eastAsia="仿宋" w:cs="仿宋"/>
          <w:sz w:val="32"/>
          <w:szCs w:val="32"/>
        </w:rPr>
      </w:pPr>
      <w:r>
        <w:rPr>
          <w:rFonts w:hint="eastAsia" w:ascii="仿宋" w:hAnsi="仿宋" w:eastAsia="仿宋" w:cs="仿宋"/>
          <w:sz w:val="32"/>
          <w:szCs w:val="32"/>
        </w:rPr>
        <w:t>绩效评价重点主要包括项目总体绩效目标、各项绩效指标完成情况以及预算执行情况等。</w:t>
      </w:r>
    </w:p>
    <w:p w14:paraId="3CB7DC9D">
      <w:pPr>
        <w:spacing w:line="600" w:lineRule="exact"/>
        <w:ind w:firstLine="643"/>
        <w:outlineLvl w:val="1"/>
        <w:rPr>
          <w:rFonts w:ascii="楷体" w:hAnsi="楷体" w:eastAsia="楷体" w:cs="楷体"/>
          <w:b/>
          <w:bCs/>
          <w:sz w:val="32"/>
          <w:szCs w:val="32"/>
        </w:rPr>
      </w:pPr>
      <w:bookmarkStart w:id="45" w:name="_Toc14910"/>
      <w:bookmarkStart w:id="46" w:name="_Toc17204"/>
      <w:bookmarkStart w:id="47" w:name="_Toc18097"/>
      <w:bookmarkStart w:id="48" w:name="_Toc19347"/>
      <w:bookmarkStart w:id="49" w:name="_Toc2196"/>
      <w:r>
        <w:rPr>
          <w:rFonts w:hint="eastAsia" w:ascii="楷体" w:hAnsi="楷体" w:eastAsia="楷体" w:cs="楷体"/>
          <w:b/>
          <w:bCs/>
          <w:sz w:val="32"/>
          <w:szCs w:val="32"/>
        </w:rPr>
        <w:t>（二）绩效评价</w:t>
      </w:r>
      <w:bookmarkEnd w:id="45"/>
      <w:bookmarkEnd w:id="46"/>
      <w:bookmarkEnd w:id="47"/>
      <w:r>
        <w:rPr>
          <w:rFonts w:hint="eastAsia" w:ascii="楷体" w:hAnsi="楷体" w:eastAsia="楷体" w:cs="楷体"/>
          <w:b/>
          <w:bCs/>
          <w:sz w:val="32"/>
          <w:szCs w:val="32"/>
        </w:rPr>
        <w:t>指标与方法</w:t>
      </w:r>
      <w:bookmarkEnd w:id="48"/>
      <w:bookmarkEnd w:id="49"/>
    </w:p>
    <w:p w14:paraId="7ABFE754">
      <w:pPr>
        <w:spacing w:line="600" w:lineRule="exact"/>
        <w:ind w:firstLine="643"/>
        <w:outlineLvl w:val="9"/>
        <w:rPr>
          <w:rFonts w:ascii="仿宋" w:hAnsi="仿宋" w:cs="仿宋"/>
          <w:b/>
          <w:bCs/>
          <w:sz w:val="32"/>
          <w:szCs w:val="32"/>
        </w:rPr>
      </w:pPr>
      <w:r>
        <w:rPr>
          <w:rFonts w:hint="eastAsia" w:ascii="仿宋" w:hAnsi="仿宋" w:cs="仿宋"/>
          <w:b/>
          <w:bCs/>
          <w:sz w:val="32"/>
          <w:szCs w:val="32"/>
        </w:rPr>
        <w:t>1.绩效评价原则</w:t>
      </w:r>
    </w:p>
    <w:p w14:paraId="7DDE2303">
      <w:pPr>
        <w:spacing w:line="600" w:lineRule="exact"/>
        <w:ind w:firstLine="640"/>
        <w:rPr>
          <w:rFonts w:ascii="仿宋" w:hAnsi="仿宋" w:eastAsia="仿宋" w:cs="仿宋"/>
          <w:sz w:val="32"/>
          <w:szCs w:val="32"/>
        </w:rPr>
      </w:pPr>
      <w:r>
        <w:rPr>
          <w:rFonts w:hint="eastAsia" w:ascii="仿宋" w:hAnsi="仿宋" w:eastAsia="仿宋" w:cs="仿宋"/>
          <w:sz w:val="32"/>
          <w:szCs w:val="32"/>
        </w:rPr>
        <w:t>（1）科学规范原则。严格执行规定的程序，按照科学可行的要求，采用定量</w:t>
      </w:r>
      <w:r>
        <w:rPr>
          <w:rFonts w:hint="eastAsia" w:ascii="仿宋" w:hAnsi="仿宋" w:eastAsia="仿宋" w:cs="仿宋"/>
          <w:sz w:val="32"/>
          <w:szCs w:val="32"/>
          <w:lang w:val="en-US" w:eastAsia="zh-CN"/>
        </w:rPr>
        <w:t>分析</w:t>
      </w:r>
      <w:r>
        <w:rPr>
          <w:rFonts w:hint="eastAsia" w:ascii="仿宋" w:hAnsi="仿宋" w:eastAsia="仿宋" w:cs="仿宋"/>
          <w:sz w:val="32"/>
          <w:szCs w:val="32"/>
        </w:rPr>
        <w:t xml:space="preserve">与定性分析相结合的方法开展绩效评价工作。 </w:t>
      </w:r>
    </w:p>
    <w:p w14:paraId="4FD2F57C">
      <w:pPr>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（2）绩效相关原则。针对具体支出及其产出绩效进行评价，评价结果清晰反映支出和产出绩效之间的紧密对应关系。 </w:t>
      </w:r>
    </w:p>
    <w:p w14:paraId="1A409D10">
      <w:pPr>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（3）政策相符原则。制定评价工作方案、现场评价表格及项目评价实施工作均应严格执行有关政策和管理规定。 </w:t>
      </w:r>
    </w:p>
    <w:p w14:paraId="57B49DA6">
      <w:pPr>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（4）经济合理原则。既要节约成本又要满足项目绩效评价工作的需要。 </w:t>
      </w:r>
    </w:p>
    <w:p w14:paraId="7D59DA85">
      <w:pPr>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35C0CEC9">
      <w:pPr>
        <w:spacing w:line="600" w:lineRule="exact"/>
        <w:ind w:firstLine="640"/>
        <w:rPr>
          <w:rFonts w:ascii="仿宋" w:hAnsi="仿宋" w:eastAsia="仿宋" w:cs="仿宋"/>
          <w:sz w:val="32"/>
          <w:szCs w:val="32"/>
        </w:rPr>
      </w:pPr>
      <w:r>
        <w:rPr>
          <w:rFonts w:hint="eastAsia" w:ascii="仿宋" w:hAnsi="仿宋" w:eastAsia="仿宋" w:cs="仿宋"/>
          <w:sz w:val="32"/>
          <w:szCs w:val="32"/>
        </w:rPr>
        <w:t>（6）独立评价原则。评价活动不受任何机构和个人的干预和影响，独立</w:t>
      </w:r>
      <w:r>
        <w:rPr>
          <w:rFonts w:hint="eastAsia" w:ascii="仿宋" w:hAnsi="仿宋" w:eastAsia="仿宋" w:cs="仿宋"/>
          <w:sz w:val="32"/>
          <w:szCs w:val="32"/>
          <w:lang w:val="en-US" w:eastAsia="zh-CN"/>
        </w:rPr>
        <w:t>作</w:t>
      </w:r>
      <w:r>
        <w:rPr>
          <w:rFonts w:hint="eastAsia" w:ascii="仿宋" w:hAnsi="仿宋" w:eastAsia="仿宋" w:cs="仿宋"/>
          <w:sz w:val="32"/>
          <w:szCs w:val="32"/>
        </w:rPr>
        <w:t xml:space="preserve">出评价结论。 </w:t>
      </w:r>
    </w:p>
    <w:p w14:paraId="5A1825F9">
      <w:pPr>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（7）回避原则。评价工作人员和绩效评价工作组不得与项目相关单位有任何利害关系，确保评价结论的客观公正。 </w:t>
      </w:r>
    </w:p>
    <w:p w14:paraId="6AF011EE">
      <w:pPr>
        <w:spacing w:line="600" w:lineRule="exact"/>
        <w:ind w:firstLine="640"/>
        <w:rPr>
          <w:rFonts w:ascii="仿宋" w:hAnsi="仿宋" w:eastAsia="仿宋" w:cs="仿宋"/>
          <w:sz w:val="32"/>
          <w:szCs w:val="32"/>
        </w:rPr>
      </w:pPr>
      <w:r>
        <w:rPr>
          <w:rFonts w:hint="eastAsia" w:ascii="仿宋" w:hAnsi="仿宋" w:eastAsia="仿宋" w:cs="仿宋"/>
          <w:sz w:val="32"/>
          <w:szCs w:val="32"/>
        </w:rPr>
        <w:t>（8）反馈原则。将评价的结果反馈给</w:t>
      </w:r>
      <w:r>
        <w:rPr>
          <w:rFonts w:hint="eastAsia" w:ascii="仿宋" w:hAnsi="仿宋" w:eastAsia="仿宋" w:cs="仿宋"/>
          <w:sz w:val="32"/>
          <w:szCs w:val="32"/>
          <w:lang w:val="en-US" w:eastAsia="zh-CN"/>
        </w:rPr>
        <w:t>有关</w:t>
      </w:r>
      <w:r>
        <w:rPr>
          <w:rFonts w:hint="eastAsia" w:ascii="仿宋" w:hAnsi="仿宋" w:eastAsia="仿宋" w:cs="仿宋"/>
          <w:sz w:val="32"/>
          <w:szCs w:val="32"/>
        </w:rPr>
        <w:t xml:space="preserve">部门，作为有关部门以后年度安排项目预算、加强项目管理等工作的重要依据。 </w:t>
      </w:r>
    </w:p>
    <w:p w14:paraId="2D7DF6DB">
      <w:pPr>
        <w:spacing w:line="600" w:lineRule="exact"/>
        <w:ind w:firstLine="640"/>
        <w:rPr>
          <w:rFonts w:ascii="仿宋" w:hAnsi="仿宋" w:eastAsia="仿宋" w:cs="仿宋"/>
          <w:sz w:val="32"/>
          <w:szCs w:val="32"/>
        </w:rPr>
      </w:pPr>
      <w:r>
        <w:rPr>
          <w:rFonts w:hint="eastAsia" w:ascii="仿宋" w:hAnsi="仿宋" w:eastAsia="仿宋" w:cs="仿宋"/>
          <w:sz w:val="32"/>
          <w:szCs w:val="32"/>
        </w:rPr>
        <w:t>（9）保密原则。绩效评价工作人员和绩效评价工作组，对与项目评价有关的所有信息资料负有保密义务，未经允许，不得散布。</w:t>
      </w:r>
    </w:p>
    <w:p w14:paraId="1E6A389A">
      <w:pPr>
        <w:spacing w:line="600" w:lineRule="exact"/>
        <w:ind w:firstLine="643"/>
        <w:outlineLvl w:val="9"/>
        <w:rPr>
          <w:rFonts w:ascii="仿宋" w:hAnsi="仿宋" w:cs="仿宋"/>
          <w:b/>
          <w:bCs/>
          <w:sz w:val="32"/>
          <w:szCs w:val="32"/>
        </w:rPr>
      </w:pPr>
      <w:r>
        <w:rPr>
          <w:rFonts w:hint="eastAsia" w:ascii="仿宋" w:hAnsi="仿宋" w:cs="仿宋"/>
          <w:b/>
          <w:bCs/>
          <w:sz w:val="32"/>
          <w:szCs w:val="32"/>
        </w:rPr>
        <w:t>2.评价指标体系</w:t>
      </w:r>
    </w:p>
    <w:p w14:paraId="111308C1">
      <w:pPr>
        <w:spacing w:line="600" w:lineRule="exact"/>
        <w:ind w:firstLine="640"/>
        <w:rPr>
          <w:rFonts w:ascii="仿宋" w:hAnsi="仿宋" w:eastAsia="仿宋" w:cs="仿宋"/>
          <w:sz w:val="32"/>
          <w:szCs w:val="32"/>
        </w:rPr>
      </w:pPr>
      <w:r>
        <w:rPr>
          <w:rFonts w:hint="eastAsia" w:ascii="仿宋" w:hAnsi="仿宋" w:eastAsia="仿宋" w:cs="仿宋"/>
          <w:sz w:val="32"/>
          <w:szCs w:val="32"/>
        </w:rPr>
        <w:t>根据《预算绩效评价共性指标体系框架》（财预〔2013〕53号）、《项目支出绩效评价管理办法》（财预〔2020〕10号）</w:t>
      </w:r>
      <w:r>
        <w:rPr>
          <w:rFonts w:hint="eastAsia" w:ascii="仿宋" w:hAnsi="仿宋" w:eastAsia="仿宋" w:cs="仿宋"/>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sz w:val="32"/>
          <w:szCs w:val="32"/>
        </w:rPr>
        <w:t>等有关规定，结合项目实际情况，本次评价共设置决策指标、过程指标、产出指标、效益指标4个一级指标，对一级指标细分为11个二级指标，对二级指标细分为17个三级指标。</w:t>
      </w:r>
    </w:p>
    <w:p w14:paraId="3E4FB06A">
      <w:pPr>
        <w:spacing w:line="600" w:lineRule="exact"/>
        <w:ind w:firstLine="640"/>
        <w:rPr>
          <w:rFonts w:ascii="仿宋" w:hAnsi="仿宋" w:eastAsia="仿宋" w:cs="仿宋"/>
          <w:sz w:val="32"/>
          <w:szCs w:val="32"/>
        </w:rPr>
      </w:pPr>
      <w:r>
        <w:rPr>
          <w:rFonts w:hint="eastAsia" w:ascii="仿宋" w:hAnsi="仿宋" w:eastAsia="仿宋" w:cs="仿宋"/>
          <w:sz w:val="32"/>
          <w:szCs w:val="32"/>
        </w:rPr>
        <w:t>指标权重是指具体指标所占的分值，反映具体指标在指标体系中的重要性。本次绩效评价，对决策指标赋予20.0分、过程指标赋予20.0分、产出指标赋予36.0分、效益指标赋予24.0分，同时根据二、三级指标的重要性进行权重的分解。具体指标详见附件1《绩效评价指标体系及评分表》。</w:t>
      </w:r>
    </w:p>
    <w:p w14:paraId="4EB6B022">
      <w:pPr>
        <w:spacing w:line="600" w:lineRule="exact"/>
        <w:ind w:firstLine="643"/>
        <w:outlineLvl w:val="9"/>
        <w:rPr>
          <w:rFonts w:ascii="仿宋" w:hAnsi="仿宋" w:cs="仿宋"/>
          <w:b/>
          <w:bCs/>
          <w:sz w:val="32"/>
          <w:szCs w:val="32"/>
        </w:rPr>
      </w:pPr>
      <w:r>
        <w:rPr>
          <w:rFonts w:hint="eastAsia" w:ascii="仿宋" w:hAnsi="仿宋" w:cs="仿宋"/>
          <w:b/>
          <w:bCs/>
          <w:sz w:val="32"/>
          <w:szCs w:val="32"/>
        </w:rPr>
        <w:t>3.评价方法</w:t>
      </w:r>
    </w:p>
    <w:p w14:paraId="70360935">
      <w:pPr>
        <w:spacing w:line="600" w:lineRule="exact"/>
        <w:ind w:firstLine="640"/>
        <w:rPr>
          <w:rFonts w:ascii="仿宋" w:hAnsi="仿宋" w:eastAsia="仿宋" w:cs="仿宋"/>
          <w:sz w:val="32"/>
          <w:szCs w:val="32"/>
        </w:rPr>
      </w:pPr>
      <w:bookmarkStart w:id="50" w:name="_Toc29066"/>
      <w:bookmarkStart w:id="51" w:name="_Toc1910"/>
      <w:bookmarkStart w:id="52" w:name="_Toc19283"/>
      <w:r>
        <w:rPr>
          <w:rFonts w:ascii="仿宋" w:hAnsi="仿宋" w:eastAsia="仿宋" w:cs="仿宋"/>
          <w:sz w:val="32"/>
          <w:szCs w:val="32"/>
        </w:rPr>
        <w:t>本次评价由扶风县财政局组织实施，评价以访谈、材料核查、座谈、问卷调查、选点抽查为基础，坚持定量优先、简便有效的原则，综合运用比较法、因素分析法等方法，对比亚迪汽车线束生产线项目卫生间工程补助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5CC83ECB">
      <w:pPr>
        <w:spacing w:line="600" w:lineRule="exact"/>
        <w:ind w:firstLine="64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 xml:space="preserve">）成本效益分析法。是指将投入与产出、效益进行关联性分析的方法。 </w:t>
      </w:r>
    </w:p>
    <w:p w14:paraId="6BA4F3CB">
      <w:pPr>
        <w:spacing w:line="600" w:lineRule="exact"/>
        <w:ind w:firstLine="64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2</w:t>
      </w:r>
      <w:r>
        <w:rPr>
          <w:rFonts w:ascii="仿宋" w:hAnsi="仿宋" w:eastAsia="仿宋" w:cs="仿宋"/>
          <w:sz w:val="32"/>
          <w:szCs w:val="32"/>
        </w:rPr>
        <w:t>）比较法。是指将实施情况与绩效目标、历史情况、不同部门和地区同类支出情况进行比较的方法。</w:t>
      </w:r>
    </w:p>
    <w:p w14:paraId="40EDC4D1">
      <w:pPr>
        <w:spacing w:line="600" w:lineRule="exact"/>
        <w:ind w:firstLine="64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3</w:t>
      </w:r>
      <w:r>
        <w:rPr>
          <w:rFonts w:ascii="仿宋" w:hAnsi="仿宋" w:eastAsia="仿宋" w:cs="仿宋"/>
          <w:sz w:val="32"/>
          <w:szCs w:val="32"/>
        </w:rPr>
        <w:t>）因素分析法。是指综合分析影响绩效目标实现、实施效果的内外部因素的方法。</w:t>
      </w:r>
    </w:p>
    <w:p w14:paraId="315BE712">
      <w:pPr>
        <w:spacing w:line="600" w:lineRule="exact"/>
        <w:ind w:firstLine="64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4</w:t>
      </w:r>
      <w:r>
        <w:rPr>
          <w:rFonts w:ascii="仿宋" w:hAnsi="仿宋" w:eastAsia="仿宋" w:cs="仿宋"/>
          <w:sz w:val="32"/>
          <w:szCs w:val="32"/>
        </w:rPr>
        <w:t>）最低成本法。是指在绩效目标确定的前提下，成本最小者为优的方法。</w:t>
      </w:r>
    </w:p>
    <w:p w14:paraId="570F613B">
      <w:pPr>
        <w:spacing w:line="600" w:lineRule="exact"/>
        <w:ind w:firstLine="64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5</w:t>
      </w:r>
      <w:r>
        <w:rPr>
          <w:rFonts w:ascii="仿宋" w:hAnsi="仿宋" w:eastAsia="仿宋" w:cs="仿宋"/>
          <w:sz w:val="32"/>
          <w:szCs w:val="32"/>
        </w:rPr>
        <w:t>）公众评判法。是指通过专家评估、公众问卷及抽样调查等方式进行评判的方法。</w:t>
      </w:r>
    </w:p>
    <w:p w14:paraId="70155871">
      <w:pPr>
        <w:spacing w:line="600" w:lineRule="exact"/>
        <w:ind w:firstLine="64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6</w:t>
      </w:r>
      <w:r>
        <w:rPr>
          <w:rFonts w:ascii="仿宋" w:hAnsi="仿宋" w:eastAsia="仿宋" w:cs="仿宋"/>
          <w:sz w:val="32"/>
          <w:szCs w:val="32"/>
        </w:rPr>
        <w:t>）标杆管理法。是指以国内外同行业中较高的绩效水平为标杆进行评判的方法。</w:t>
      </w:r>
    </w:p>
    <w:p w14:paraId="4C7FA821">
      <w:pPr>
        <w:spacing w:line="600" w:lineRule="exact"/>
        <w:ind w:firstLine="640"/>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7</w:t>
      </w:r>
      <w:r>
        <w:rPr>
          <w:rFonts w:ascii="仿宋" w:hAnsi="仿宋" w:eastAsia="仿宋" w:cs="仿宋"/>
          <w:sz w:val="32"/>
          <w:szCs w:val="32"/>
        </w:rPr>
        <w:t>）其他评价方法。</w:t>
      </w:r>
    </w:p>
    <w:p w14:paraId="56730D92">
      <w:pPr>
        <w:spacing w:line="600" w:lineRule="exact"/>
        <w:ind w:firstLine="643"/>
        <w:outlineLvl w:val="9"/>
        <w:rPr>
          <w:rFonts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6E6E5410">
      <w:pPr>
        <w:spacing w:line="600" w:lineRule="exact"/>
        <w:ind w:firstLine="640"/>
        <w:rPr>
          <w:rFonts w:ascii="仿宋" w:hAnsi="仿宋" w:eastAsia="仿宋" w:cs="仿宋"/>
          <w:sz w:val="32"/>
          <w:szCs w:val="32"/>
        </w:rPr>
      </w:pPr>
      <w:r>
        <w:rPr>
          <w:rFonts w:hint="eastAsia" w:ascii="仿宋" w:hAnsi="仿宋" w:eastAsia="仿宋" w:cs="仿宋"/>
          <w:sz w:val="32"/>
          <w:szCs w:val="32"/>
        </w:rPr>
        <w:t>根据财政部《项目支出绩效评价管理办法》（财预〔2020〕10号），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49948B86">
      <w:pPr>
        <w:spacing w:line="600" w:lineRule="exact"/>
        <w:ind w:firstLine="643"/>
        <w:outlineLvl w:val="1"/>
        <w:rPr>
          <w:rFonts w:ascii="楷体" w:hAnsi="楷体" w:eastAsia="楷体" w:cs="楷体"/>
          <w:b/>
          <w:bCs/>
          <w:sz w:val="32"/>
          <w:szCs w:val="32"/>
        </w:rPr>
      </w:pPr>
      <w:bookmarkStart w:id="53" w:name="_Toc23298"/>
      <w:bookmarkStart w:id="54" w:name="_Toc17254"/>
      <w:bookmarkStart w:id="55" w:name="_Toc19596"/>
      <w:bookmarkStart w:id="56" w:name="_Toc15419"/>
      <w:bookmarkStart w:id="57" w:name="_Toc19747"/>
      <w:r>
        <w:rPr>
          <w:rFonts w:hint="eastAsia" w:ascii="楷体" w:hAnsi="楷体" w:eastAsia="楷体" w:cs="楷体"/>
          <w:b/>
          <w:bCs/>
          <w:sz w:val="32"/>
          <w:szCs w:val="32"/>
        </w:rPr>
        <w:t>（三）绩效评价工作过程</w:t>
      </w:r>
      <w:bookmarkEnd w:id="53"/>
      <w:bookmarkEnd w:id="54"/>
      <w:bookmarkEnd w:id="55"/>
    </w:p>
    <w:p w14:paraId="08CA81C1">
      <w:pPr>
        <w:spacing w:line="600" w:lineRule="exact"/>
        <w:ind w:firstLine="643"/>
        <w:outlineLvl w:val="9"/>
        <w:rPr>
          <w:rFonts w:ascii="仿宋" w:hAnsi="仿宋" w:cs="仿宋"/>
          <w:b/>
          <w:bCs/>
          <w:sz w:val="32"/>
          <w:szCs w:val="32"/>
        </w:rPr>
      </w:pPr>
      <w:r>
        <w:rPr>
          <w:rFonts w:hint="eastAsia" w:ascii="仿宋" w:hAnsi="仿宋" w:cs="仿宋"/>
          <w:b/>
          <w:bCs/>
          <w:sz w:val="32"/>
          <w:szCs w:val="32"/>
        </w:rPr>
        <w:t>1.前期准备阶段</w:t>
      </w:r>
    </w:p>
    <w:p w14:paraId="4A4A3CF6">
      <w:pPr>
        <w:spacing w:line="600" w:lineRule="exact"/>
        <w:ind w:firstLine="640"/>
        <w:rPr>
          <w:rFonts w:ascii="仿宋" w:hAnsi="仿宋" w:eastAsia="仿宋" w:cs="仿宋"/>
          <w:sz w:val="32"/>
          <w:szCs w:val="32"/>
        </w:rPr>
      </w:pPr>
      <w:r>
        <w:rPr>
          <w:rFonts w:hint="eastAsia" w:ascii="仿宋" w:hAnsi="仿宋" w:eastAsia="仿宋" w:cs="仿宋"/>
          <w:sz w:val="32"/>
          <w:szCs w:val="32"/>
        </w:rPr>
        <w:t>（1）成立评价工作小组。由扶风县财政局相关业务股室组成评价工作小组。扶风县财政局统一组织，召开绩效评价工作集中进点布置会</w:t>
      </w:r>
      <w:r>
        <w:rPr>
          <w:rFonts w:hint="eastAsia" w:ascii="仿宋" w:hAnsi="仿宋" w:eastAsia="仿宋" w:cs="仿宋"/>
          <w:sz w:val="32"/>
          <w:szCs w:val="32"/>
          <w:lang w:val="en-US" w:eastAsia="zh-CN"/>
        </w:rPr>
        <w:t>及</w:t>
      </w:r>
      <w:r>
        <w:rPr>
          <w:rFonts w:hint="eastAsia" w:ascii="仿宋" w:hAnsi="仿宋" w:eastAsia="仿宋" w:cs="仿宋"/>
          <w:sz w:val="32"/>
          <w:szCs w:val="32"/>
        </w:rPr>
        <w:t>业务培训会，明确工作任务、绩效评价流程、时间安排，评价小组依据评价工作安排及时下发重点绩效评价通知。</w:t>
      </w:r>
    </w:p>
    <w:p w14:paraId="20A4446F">
      <w:pPr>
        <w:spacing w:line="600" w:lineRule="exact"/>
        <w:ind w:firstLine="640"/>
        <w:rPr>
          <w:rFonts w:ascii="仿宋" w:hAnsi="仿宋" w:eastAsia="仿宋" w:cs="仿宋"/>
          <w:sz w:val="32"/>
          <w:szCs w:val="32"/>
        </w:rPr>
      </w:pPr>
      <w:r>
        <w:rPr>
          <w:rFonts w:hint="eastAsia" w:ascii="仿宋" w:hAnsi="仿宋" w:eastAsia="仿宋" w:cs="仿宋"/>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40C0B7E7">
      <w:pPr>
        <w:spacing w:line="600" w:lineRule="exact"/>
        <w:ind w:firstLine="640"/>
        <w:rPr>
          <w:rFonts w:ascii="仿宋" w:hAnsi="仿宋" w:eastAsia="仿宋" w:cs="仿宋"/>
          <w:sz w:val="32"/>
          <w:szCs w:val="32"/>
        </w:rPr>
      </w:pPr>
      <w:r>
        <w:rPr>
          <w:rFonts w:hint="eastAsia" w:ascii="仿宋" w:hAnsi="仿宋" w:eastAsia="仿宋" w:cs="仿宋"/>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18697E11">
      <w:pPr>
        <w:spacing w:line="600" w:lineRule="exact"/>
        <w:ind w:firstLine="643"/>
        <w:outlineLvl w:val="9"/>
        <w:rPr>
          <w:rFonts w:ascii="仿宋" w:hAnsi="仿宋" w:cs="仿宋"/>
          <w:b/>
          <w:bCs/>
          <w:sz w:val="32"/>
          <w:szCs w:val="32"/>
        </w:rPr>
      </w:pPr>
      <w:r>
        <w:rPr>
          <w:rFonts w:hint="eastAsia" w:ascii="仿宋" w:hAnsi="仿宋" w:cs="仿宋"/>
          <w:b/>
          <w:bCs/>
          <w:sz w:val="32"/>
          <w:szCs w:val="32"/>
        </w:rPr>
        <w:t>2.组织实施阶段</w:t>
      </w:r>
    </w:p>
    <w:p w14:paraId="7546615B">
      <w:pPr>
        <w:spacing w:line="600" w:lineRule="exact"/>
        <w:ind w:firstLine="640"/>
        <w:rPr>
          <w:rFonts w:ascii="仿宋" w:hAnsi="仿宋" w:eastAsia="仿宋" w:cs="仿宋"/>
          <w:sz w:val="32"/>
          <w:szCs w:val="32"/>
        </w:rPr>
      </w:pPr>
      <w:r>
        <w:rPr>
          <w:rFonts w:hint="eastAsia" w:ascii="仿宋" w:hAnsi="仿宋" w:eastAsia="仿宋" w:cs="仿宋"/>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2957334E">
      <w:pPr>
        <w:spacing w:line="600" w:lineRule="exact"/>
        <w:ind w:firstLine="640"/>
        <w:rPr>
          <w:rFonts w:ascii="仿宋" w:hAnsi="仿宋" w:eastAsia="仿宋" w:cs="仿宋"/>
          <w:sz w:val="32"/>
          <w:szCs w:val="32"/>
        </w:rPr>
      </w:pPr>
      <w:r>
        <w:rPr>
          <w:rFonts w:hint="eastAsia" w:ascii="仿宋" w:hAnsi="仿宋" w:eastAsia="仿宋" w:cs="仿宋"/>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455A399F">
      <w:pPr>
        <w:spacing w:line="600" w:lineRule="exact"/>
        <w:ind w:firstLine="643"/>
        <w:outlineLvl w:val="9"/>
        <w:rPr>
          <w:rFonts w:ascii="仿宋" w:hAnsi="仿宋" w:eastAsia="仿宋" w:cs="仿宋"/>
          <w:b/>
          <w:bCs/>
          <w:sz w:val="32"/>
          <w:szCs w:val="32"/>
        </w:rPr>
      </w:pPr>
      <w:r>
        <w:rPr>
          <w:rFonts w:hint="eastAsia" w:ascii="仿宋" w:hAnsi="仿宋" w:eastAsia="仿宋" w:cs="仿宋"/>
          <w:b/>
          <w:bCs/>
          <w:sz w:val="32"/>
          <w:szCs w:val="32"/>
        </w:rPr>
        <w:t>3.分析评价阶段</w:t>
      </w:r>
    </w:p>
    <w:p w14:paraId="0A96A8FD">
      <w:pPr>
        <w:spacing w:line="600" w:lineRule="exact"/>
        <w:ind w:firstLine="640"/>
        <w:rPr>
          <w:rFonts w:ascii="仿宋" w:hAnsi="仿宋" w:eastAsia="仿宋" w:cs="仿宋"/>
          <w:sz w:val="32"/>
          <w:szCs w:val="32"/>
        </w:rPr>
      </w:pPr>
      <w:r>
        <w:rPr>
          <w:rFonts w:hint="eastAsia" w:ascii="仿宋" w:hAnsi="仿宋" w:eastAsia="仿宋" w:cs="仿宋"/>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733501C1">
      <w:pPr>
        <w:spacing w:line="600" w:lineRule="exact"/>
        <w:ind w:firstLine="643"/>
        <w:outlineLvl w:val="9"/>
        <w:rPr>
          <w:rFonts w:ascii="仿宋" w:hAnsi="仿宋" w:eastAsia="仿宋" w:cs="仿宋"/>
          <w:b/>
          <w:bCs/>
          <w:sz w:val="32"/>
          <w:szCs w:val="32"/>
        </w:rPr>
      </w:pPr>
      <w:r>
        <w:rPr>
          <w:rFonts w:hint="eastAsia" w:ascii="仿宋" w:hAnsi="仿宋" w:cs="仿宋"/>
          <w:b/>
          <w:bCs/>
          <w:sz w:val="32"/>
          <w:szCs w:val="32"/>
        </w:rPr>
        <w:t>4.</w:t>
      </w:r>
      <w:r>
        <w:rPr>
          <w:rFonts w:hint="eastAsia" w:ascii="仿宋" w:hAnsi="仿宋" w:eastAsia="仿宋" w:cs="仿宋"/>
          <w:b/>
          <w:bCs/>
          <w:sz w:val="32"/>
          <w:szCs w:val="32"/>
        </w:rPr>
        <w:t>撰写报告阶段</w:t>
      </w:r>
    </w:p>
    <w:p w14:paraId="10E995DB">
      <w:pPr>
        <w:spacing w:line="600" w:lineRule="exact"/>
        <w:ind w:firstLine="640"/>
        <w:rPr>
          <w:rFonts w:ascii="仿宋" w:hAnsi="仿宋" w:eastAsia="仿宋" w:cs="仿宋"/>
          <w:sz w:val="32"/>
          <w:szCs w:val="32"/>
        </w:rPr>
      </w:pPr>
      <w:r>
        <w:rPr>
          <w:rFonts w:hint="eastAsia" w:ascii="仿宋" w:hAnsi="仿宋" w:eastAsia="仿宋" w:cs="仿宋"/>
          <w:sz w:val="32"/>
          <w:szCs w:val="32"/>
        </w:rPr>
        <w:t>（1）整理复核资料。根据资料的审核情况，结合现场勘查，评价小组按工作分工，整理评价所需的基本资料和数据。</w:t>
      </w:r>
    </w:p>
    <w:p w14:paraId="44DBDF20">
      <w:pPr>
        <w:spacing w:line="600" w:lineRule="exact"/>
        <w:ind w:firstLine="640"/>
        <w:rPr>
          <w:rFonts w:ascii="仿宋" w:hAnsi="仿宋" w:eastAsia="仿宋" w:cs="仿宋"/>
          <w:sz w:val="32"/>
          <w:szCs w:val="32"/>
        </w:rPr>
      </w:pPr>
      <w:r>
        <w:rPr>
          <w:rFonts w:hint="eastAsia" w:ascii="仿宋" w:hAnsi="仿宋" w:eastAsia="仿宋" w:cs="仿宋"/>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4F78105A">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7C02426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（4）完成正式报告。结合被评价单位的反馈意见撰写形成正式报告</w:t>
      </w:r>
      <w:r>
        <w:rPr>
          <w:rFonts w:hint="eastAsia" w:ascii="仿宋" w:hAnsi="仿宋" w:eastAsia="仿宋" w:cs="仿宋"/>
          <w:kern w:val="0"/>
          <w:sz w:val="32"/>
          <w:szCs w:val="32"/>
        </w:rPr>
        <w:t>。</w:t>
      </w:r>
    </w:p>
    <w:p w14:paraId="436067A6">
      <w:pPr>
        <w:spacing w:line="600" w:lineRule="exact"/>
        <w:ind w:firstLine="643"/>
        <w:outlineLvl w:val="9"/>
        <w:rPr>
          <w:rFonts w:ascii="仿宋" w:hAnsi="仿宋" w:cs="仿宋"/>
          <w:b/>
          <w:bCs/>
          <w:sz w:val="32"/>
          <w:szCs w:val="32"/>
        </w:rPr>
      </w:pPr>
      <w:r>
        <w:rPr>
          <w:rFonts w:hint="eastAsia" w:ascii="仿宋" w:hAnsi="仿宋" w:cs="仿宋"/>
          <w:b/>
          <w:bCs/>
          <w:sz w:val="32"/>
          <w:szCs w:val="32"/>
        </w:rPr>
        <w:t>5.评价结果反馈阶段</w:t>
      </w:r>
    </w:p>
    <w:p w14:paraId="53071EF9">
      <w:pPr>
        <w:spacing w:line="600" w:lineRule="exact"/>
        <w:ind w:firstLine="640"/>
        <w:rPr>
          <w:rFonts w:ascii="仿宋" w:hAnsi="仿宋" w:eastAsia="仿宋" w:cs="仿宋"/>
          <w:sz w:val="32"/>
          <w:szCs w:val="32"/>
        </w:rPr>
      </w:pPr>
      <w:r>
        <w:rPr>
          <w:rFonts w:hint="eastAsia" w:ascii="仿宋" w:hAnsi="仿宋" w:eastAsia="仿宋" w:cs="仿宋"/>
          <w:sz w:val="32"/>
          <w:szCs w:val="32"/>
        </w:rPr>
        <w:t>绩效评价结束后，由评价小组提出整改建议，</w:t>
      </w:r>
      <w:r>
        <w:rPr>
          <w:rFonts w:hint="eastAsia" w:ascii="仿宋" w:hAnsi="仿宋" w:eastAsia="仿宋" w:cs="仿宋"/>
          <w:sz w:val="32"/>
          <w:szCs w:val="32"/>
          <w:lang w:val="en-US" w:eastAsia="zh-CN"/>
        </w:rPr>
        <w:t>经</w:t>
      </w:r>
      <w:r>
        <w:rPr>
          <w:rFonts w:hint="eastAsia" w:ascii="仿宋" w:hAnsi="仿宋" w:eastAsia="仿宋" w:cs="仿宋"/>
          <w:sz w:val="32"/>
          <w:szCs w:val="32"/>
        </w:rPr>
        <w:t>业务股室审定后，将评价报告反馈给资金使用部门。绩效评价结果在一定范围内公开，并作为安排下一年度预算安排的依据。</w:t>
      </w:r>
    </w:p>
    <w:p w14:paraId="6D28CA3D">
      <w:pPr>
        <w:spacing w:before="104" w:line="600" w:lineRule="exact"/>
        <w:ind w:firstLine="672"/>
        <w:outlineLvl w:val="0"/>
        <w:rPr>
          <w:rFonts w:ascii="黑体" w:hAnsi="黑体" w:eastAsia="黑体" w:cs="黑体"/>
          <w:spacing w:val="-2"/>
          <w:sz w:val="32"/>
          <w:szCs w:val="32"/>
        </w:rPr>
      </w:pPr>
      <w:bookmarkStart w:id="58" w:name="_Toc31221"/>
      <w:r>
        <w:rPr>
          <w:rFonts w:hint="eastAsia" w:ascii="黑体" w:hAnsi="黑体" w:eastAsia="黑体" w:cs="黑体"/>
          <w:spacing w:val="-2"/>
          <w:sz w:val="32"/>
          <w:szCs w:val="32"/>
        </w:rPr>
        <w:t>三、综合评价情况及评价结论</w:t>
      </w:r>
      <w:bookmarkEnd w:id="56"/>
      <w:bookmarkEnd w:id="58"/>
    </w:p>
    <w:p w14:paraId="4ECBC7DB">
      <w:pPr>
        <w:spacing w:line="600" w:lineRule="exact"/>
        <w:ind w:firstLine="640"/>
        <w:rPr>
          <w:rFonts w:ascii="仿宋" w:hAnsi="仿宋" w:eastAsia="仿宋" w:cs="仿宋"/>
          <w:sz w:val="32"/>
          <w:szCs w:val="32"/>
        </w:rPr>
      </w:pPr>
      <w:bookmarkStart w:id="59" w:name="_Toc21717"/>
      <w:r>
        <w:rPr>
          <w:rFonts w:hint="eastAsia" w:ascii="仿宋" w:hAnsi="仿宋" w:eastAsia="仿宋" w:cs="仿宋"/>
          <w:sz w:val="32"/>
          <w:szCs w:val="32"/>
        </w:rPr>
        <w:t>按照确定的评分细则，通过对各项指标逐一评价打分，比亚迪汽车线束生产线项目卫生间工程补助款绩效评价得分为</w:t>
      </w:r>
      <w:r>
        <w:rPr>
          <w:rFonts w:hint="eastAsia" w:ascii="仿宋" w:hAnsi="仿宋" w:eastAsia="仿宋" w:cs="仿宋"/>
          <w:sz w:val="32"/>
          <w:szCs w:val="32"/>
          <w:lang w:val="en-US" w:eastAsia="zh-CN"/>
        </w:rPr>
        <w:t>82.5</w:t>
      </w:r>
      <w:r>
        <w:rPr>
          <w:rFonts w:hint="eastAsia" w:ascii="仿宋" w:hAnsi="仿宋" w:eastAsia="仿宋" w:cs="仿宋"/>
          <w:sz w:val="32"/>
          <w:szCs w:val="32"/>
        </w:rPr>
        <w:t>分，评价结果等级为“</w:t>
      </w:r>
      <w:r>
        <w:rPr>
          <w:rFonts w:hint="eastAsia" w:ascii="仿宋" w:hAnsi="仿宋" w:eastAsia="仿宋" w:cs="仿宋"/>
          <w:sz w:val="32"/>
          <w:szCs w:val="32"/>
          <w:lang w:val="en-US" w:eastAsia="zh-CN"/>
        </w:rPr>
        <w:t>良</w:t>
      </w:r>
      <w:r>
        <w:rPr>
          <w:rFonts w:hint="eastAsia" w:ascii="仿宋" w:hAnsi="仿宋" w:eastAsia="仿宋" w:cs="仿宋"/>
          <w:sz w:val="32"/>
          <w:szCs w:val="32"/>
        </w:rPr>
        <w:t>”，评分情况详见下表。</w:t>
      </w:r>
    </w:p>
    <w:p w14:paraId="56A149E6">
      <w:pPr>
        <w:pStyle w:val="190"/>
        <w:ind w:left="0" w:leftChars="0" w:firstLine="0" w:firstLineChars="0"/>
        <w:jc w:val="center"/>
        <w:rPr>
          <w:rFonts w:ascii="仿宋" w:hAnsi="仿宋" w:eastAsia="仿宋" w:cs="仿宋"/>
          <w:b/>
          <w:bCs/>
          <w:sz w:val="32"/>
          <w:szCs w:val="32"/>
        </w:rPr>
      </w:pPr>
      <w:r>
        <w:rPr>
          <w:rFonts w:ascii="仿宋" w:hAnsi="仿宋" w:eastAsia="仿宋" w:cs="仿宋"/>
          <w:b/>
          <w:bCs/>
          <w:sz w:val="32"/>
          <w:szCs w:val="32"/>
        </w:rPr>
        <w:t>绩效指标评分表</w:t>
      </w:r>
    </w:p>
    <w:tbl>
      <w:tblPr>
        <w:tblStyle w:val="34"/>
        <w:tblpPr w:leftFromText="180" w:rightFromText="180" w:vertAnchor="text" w:horzAnchor="page" w:tblpX="1776" w:tblpY="416"/>
        <w:tblOverlap w:val="never"/>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312D12C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trPr>
        <w:tc>
          <w:tcPr>
            <w:tcW w:w="5000" w:type="pct"/>
            <w:gridSpan w:val="4"/>
            <w:noWrap w:val="0"/>
            <w:vAlign w:val="center"/>
          </w:tcPr>
          <w:p w14:paraId="0F520F20">
            <w:pPr>
              <w:pStyle w:val="190"/>
              <w:ind w:firstLine="0"/>
              <w:jc w:val="center"/>
              <w:rPr>
                <w:rFonts w:ascii="仿宋" w:hAnsi="仿宋" w:eastAsia="仿宋" w:cs="仿宋"/>
                <w:sz w:val="32"/>
                <w:szCs w:val="32"/>
              </w:rPr>
            </w:pPr>
            <w:r>
              <w:rPr>
                <w:rFonts w:hint="eastAsia" w:ascii="仿宋" w:hAnsi="仿宋" w:eastAsia="仿宋" w:cs="仿宋"/>
                <w:sz w:val="32"/>
                <w:szCs w:val="32"/>
              </w:rPr>
              <w:t>报告绩效指标评分表</w:t>
            </w:r>
          </w:p>
        </w:tc>
      </w:tr>
      <w:tr w14:paraId="32DFC7D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trPr>
        <w:tc>
          <w:tcPr>
            <w:tcW w:w="1187" w:type="pct"/>
            <w:noWrap w:val="0"/>
            <w:vAlign w:val="center"/>
          </w:tcPr>
          <w:p w14:paraId="2C8523C2">
            <w:pPr>
              <w:pStyle w:val="190"/>
              <w:ind w:firstLine="0"/>
              <w:jc w:val="center"/>
              <w:rPr>
                <w:rFonts w:ascii="仿宋" w:hAnsi="仿宋" w:eastAsia="仿宋" w:cs="仿宋"/>
                <w:sz w:val="32"/>
                <w:szCs w:val="32"/>
              </w:rPr>
            </w:pPr>
            <w:r>
              <w:rPr>
                <w:rFonts w:hint="eastAsia" w:ascii="仿宋" w:hAnsi="仿宋" w:eastAsia="仿宋" w:cs="仿宋"/>
                <w:sz w:val="32"/>
                <w:szCs w:val="32"/>
              </w:rPr>
              <w:t>一级指标</w:t>
            </w:r>
          </w:p>
        </w:tc>
        <w:tc>
          <w:tcPr>
            <w:tcW w:w="1187" w:type="pct"/>
            <w:noWrap w:val="0"/>
            <w:vAlign w:val="center"/>
          </w:tcPr>
          <w:p w14:paraId="5871CA6C">
            <w:pPr>
              <w:pStyle w:val="190"/>
              <w:ind w:firstLine="0"/>
              <w:jc w:val="center"/>
              <w:rPr>
                <w:rFonts w:ascii="仿宋" w:hAnsi="仿宋" w:eastAsia="仿宋" w:cs="仿宋"/>
                <w:sz w:val="32"/>
                <w:szCs w:val="32"/>
              </w:rPr>
            </w:pPr>
            <w:r>
              <w:rPr>
                <w:rFonts w:hint="eastAsia" w:ascii="仿宋" w:hAnsi="仿宋" w:eastAsia="仿宋" w:cs="仿宋"/>
                <w:sz w:val="32"/>
                <w:szCs w:val="32"/>
              </w:rPr>
              <w:t>分值</w:t>
            </w:r>
          </w:p>
        </w:tc>
        <w:tc>
          <w:tcPr>
            <w:tcW w:w="1187" w:type="pct"/>
            <w:noWrap w:val="0"/>
            <w:vAlign w:val="center"/>
          </w:tcPr>
          <w:p w14:paraId="05ABF65F">
            <w:pPr>
              <w:pStyle w:val="190"/>
              <w:ind w:firstLine="0"/>
              <w:jc w:val="center"/>
              <w:rPr>
                <w:rFonts w:ascii="仿宋" w:hAnsi="仿宋" w:eastAsia="仿宋" w:cs="仿宋"/>
                <w:sz w:val="32"/>
                <w:szCs w:val="32"/>
              </w:rPr>
            </w:pPr>
            <w:r>
              <w:rPr>
                <w:rFonts w:hint="eastAsia" w:ascii="仿宋" w:hAnsi="仿宋" w:eastAsia="仿宋" w:cs="仿宋"/>
                <w:sz w:val="32"/>
                <w:szCs w:val="32"/>
              </w:rPr>
              <w:t>得分</w:t>
            </w:r>
          </w:p>
        </w:tc>
        <w:tc>
          <w:tcPr>
            <w:tcW w:w="1440" w:type="pct"/>
            <w:noWrap w:val="0"/>
            <w:vAlign w:val="center"/>
          </w:tcPr>
          <w:p w14:paraId="5972F9F8">
            <w:pPr>
              <w:pStyle w:val="190"/>
              <w:ind w:firstLine="0"/>
              <w:jc w:val="center"/>
              <w:rPr>
                <w:rFonts w:ascii="仿宋" w:hAnsi="仿宋" w:eastAsia="仿宋" w:cs="仿宋"/>
                <w:sz w:val="32"/>
                <w:szCs w:val="32"/>
              </w:rPr>
            </w:pPr>
            <w:r>
              <w:rPr>
                <w:rFonts w:hint="eastAsia" w:ascii="仿宋" w:hAnsi="仿宋" w:eastAsia="仿宋" w:cs="仿宋"/>
                <w:sz w:val="32"/>
                <w:szCs w:val="32"/>
              </w:rPr>
              <w:t>得分率</w:t>
            </w:r>
          </w:p>
        </w:tc>
      </w:tr>
      <w:tr w14:paraId="0612DD7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trPr>
        <w:tc>
          <w:tcPr>
            <w:noWrap w:val="0"/>
            <w:vAlign w:val="center"/>
          </w:tcPr>
          <w:p w14:paraId="5A0ADA21">
            <w:pPr>
              <w:jc w:val="center"/>
            </w:pPr>
            <w:r>
              <w:rPr>
                <w:rFonts w:ascii="仿宋" w:hAnsi="仿宋" w:eastAsia="仿宋" w:cs="仿宋"/>
                <w:b w:val="0"/>
                <w:sz w:val="32"/>
              </w:rPr>
              <w:t>决策指标</w:t>
            </w:r>
          </w:p>
        </w:tc>
        <w:tc>
          <w:tcPr>
            <w:noWrap w:val="0"/>
            <w:vAlign w:val="center"/>
          </w:tcPr>
          <w:p w14:paraId="1B4188BD">
            <w:pPr>
              <w:jc w:val="center"/>
            </w:pPr>
            <w:r>
              <w:rPr>
                <w:rFonts w:ascii="仿宋" w:hAnsi="仿宋" w:eastAsia="仿宋" w:cs="仿宋"/>
                <w:b w:val="0"/>
                <w:sz w:val="32"/>
              </w:rPr>
              <w:t>20.0</w:t>
            </w:r>
          </w:p>
        </w:tc>
        <w:tc>
          <w:tcPr>
            <w:noWrap w:val="0"/>
            <w:vAlign w:val="center"/>
          </w:tcPr>
          <w:p w14:paraId="18A55D6E">
            <w:pPr>
              <w:jc w:val="center"/>
            </w:pPr>
            <w:r>
              <w:rPr>
                <w:rFonts w:ascii="仿宋" w:hAnsi="仿宋" w:eastAsia="仿宋" w:cs="仿宋"/>
                <w:b w:val="0"/>
                <w:sz w:val="32"/>
              </w:rPr>
              <w:t>1</w:t>
            </w:r>
            <w:r>
              <w:rPr>
                <w:rFonts w:hint="eastAsia" w:ascii="仿宋" w:hAnsi="仿宋" w:eastAsia="仿宋" w:cs="仿宋"/>
                <w:b w:val="0"/>
                <w:sz w:val="32"/>
                <w:lang w:val="en-US" w:eastAsia="zh-CN"/>
              </w:rPr>
              <w:t>8</w:t>
            </w:r>
            <w:r>
              <w:rPr>
                <w:rFonts w:ascii="仿宋" w:hAnsi="仿宋" w:eastAsia="仿宋" w:cs="仿宋"/>
                <w:b w:val="0"/>
                <w:sz w:val="32"/>
              </w:rPr>
              <w:t>.0</w:t>
            </w:r>
          </w:p>
        </w:tc>
        <w:tc>
          <w:tcPr>
            <w:noWrap w:val="0"/>
            <w:vAlign w:val="center"/>
          </w:tcPr>
          <w:p w14:paraId="5371C95F">
            <w:pPr>
              <w:jc w:val="center"/>
            </w:pPr>
            <w:r>
              <w:rPr>
                <w:rFonts w:hint="eastAsia" w:ascii="仿宋" w:hAnsi="仿宋" w:eastAsia="仿宋" w:cs="仿宋"/>
                <w:b w:val="0"/>
                <w:sz w:val="32"/>
                <w:lang w:val="en-US" w:eastAsia="zh-CN"/>
              </w:rPr>
              <w:t>90</w:t>
            </w:r>
            <w:r>
              <w:rPr>
                <w:rFonts w:ascii="仿宋" w:hAnsi="仿宋" w:eastAsia="仿宋" w:cs="仿宋"/>
                <w:b w:val="0"/>
                <w:sz w:val="32"/>
              </w:rPr>
              <w:t>.00%</w:t>
            </w:r>
          </w:p>
        </w:tc>
      </w:tr>
      <w:tr w14:paraId="0E66517C">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trPr>
        <w:tc>
          <w:tcPr>
            <w:noWrap w:val="0"/>
            <w:vAlign w:val="center"/>
          </w:tcPr>
          <w:p w14:paraId="3405A514">
            <w:pPr>
              <w:jc w:val="center"/>
            </w:pPr>
            <w:r>
              <w:rPr>
                <w:rFonts w:ascii="仿宋" w:hAnsi="仿宋" w:eastAsia="仿宋" w:cs="仿宋"/>
                <w:b w:val="0"/>
                <w:sz w:val="32"/>
              </w:rPr>
              <w:t>过程指标</w:t>
            </w:r>
          </w:p>
        </w:tc>
        <w:tc>
          <w:tcPr>
            <w:noWrap w:val="0"/>
            <w:vAlign w:val="center"/>
          </w:tcPr>
          <w:p w14:paraId="5305981F">
            <w:pPr>
              <w:jc w:val="center"/>
            </w:pPr>
            <w:r>
              <w:rPr>
                <w:rFonts w:ascii="仿宋" w:hAnsi="仿宋" w:eastAsia="仿宋" w:cs="仿宋"/>
                <w:b w:val="0"/>
                <w:sz w:val="32"/>
              </w:rPr>
              <w:t>20.0</w:t>
            </w:r>
          </w:p>
        </w:tc>
        <w:tc>
          <w:tcPr>
            <w:noWrap w:val="0"/>
            <w:vAlign w:val="center"/>
          </w:tcPr>
          <w:p w14:paraId="4A6D60FA">
            <w:pPr>
              <w:jc w:val="center"/>
            </w:pPr>
            <w:r>
              <w:rPr>
                <w:rFonts w:ascii="仿宋" w:hAnsi="仿宋" w:eastAsia="仿宋" w:cs="仿宋"/>
                <w:b w:val="0"/>
                <w:sz w:val="32"/>
              </w:rPr>
              <w:t>1</w:t>
            </w:r>
            <w:r>
              <w:rPr>
                <w:rFonts w:hint="eastAsia" w:ascii="仿宋" w:hAnsi="仿宋" w:eastAsia="仿宋" w:cs="仿宋"/>
                <w:b w:val="0"/>
                <w:sz w:val="32"/>
                <w:lang w:val="en-US" w:eastAsia="zh-CN"/>
              </w:rPr>
              <w:t>3</w:t>
            </w:r>
            <w:r>
              <w:rPr>
                <w:rFonts w:ascii="仿宋" w:hAnsi="仿宋" w:eastAsia="仿宋" w:cs="仿宋"/>
                <w:b w:val="0"/>
                <w:sz w:val="32"/>
              </w:rPr>
              <w:t>.5</w:t>
            </w:r>
          </w:p>
        </w:tc>
        <w:tc>
          <w:tcPr>
            <w:noWrap w:val="0"/>
            <w:vAlign w:val="center"/>
          </w:tcPr>
          <w:p w14:paraId="72BE598F">
            <w:pPr>
              <w:jc w:val="center"/>
            </w:pPr>
            <w:r>
              <w:rPr>
                <w:rFonts w:hint="eastAsia" w:ascii="仿宋" w:hAnsi="仿宋" w:eastAsia="仿宋" w:cs="仿宋"/>
                <w:b w:val="0"/>
                <w:sz w:val="32"/>
                <w:lang w:val="en-US" w:eastAsia="zh-CN"/>
              </w:rPr>
              <w:t>6</w:t>
            </w:r>
            <w:r>
              <w:rPr>
                <w:rFonts w:ascii="仿宋" w:hAnsi="仿宋" w:eastAsia="仿宋" w:cs="仿宋"/>
                <w:b w:val="0"/>
                <w:sz w:val="32"/>
              </w:rPr>
              <w:t>7.50%</w:t>
            </w:r>
          </w:p>
        </w:tc>
      </w:tr>
      <w:tr w14:paraId="38B239B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trPr>
        <w:tc>
          <w:tcPr>
            <w:noWrap w:val="0"/>
            <w:vAlign w:val="center"/>
          </w:tcPr>
          <w:p w14:paraId="77390E26">
            <w:pPr>
              <w:jc w:val="center"/>
            </w:pPr>
            <w:r>
              <w:rPr>
                <w:rFonts w:ascii="仿宋" w:hAnsi="仿宋" w:eastAsia="仿宋" w:cs="仿宋"/>
                <w:b w:val="0"/>
                <w:sz w:val="32"/>
              </w:rPr>
              <w:t>产出指标</w:t>
            </w:r>
          </w:p>
        </w:tc>
        <w:tc>
          <w:tcPr>
            <w:noWrap w:val="0"/>
            <w:vAlign w:val="center"/>
          </w:tcPr>
          <w:p w14:paraId="577B3CD2">
            <w:pPr>
              <w:jc w:val="center"/>
            </w:pPr>
            <w:r>
              <w:rPr>
                <w:rFonts w:ascii="仿宋" w:hAnsi="仿宋" w:eastAsia="仿宋" w:cs="仿宋"/>
                <w:b w:val="0"/>
                <w:sz w:val="32"/>
              </w:rPr>
              <w:t>36.0</w:t>
            </w:r>
          </w:p>
        </w:tc>
        <w:tc>
          <w:tcPr>
            <w:noWrap w:val="0"/>
            <w:vAlign w:val="center"/>
          </w:tcPr>
          <w:p w14:paraId="3165E7E8">
            <w:pPr>
              <w:jc w:val="center"/>
            </w:pPr>
            <w:r>
              <w:rPr>
                <w:rFonts w:hint="eastAsia" w:ascii="仿宋" w:hAnsi="仿宋" w:eastAsia="仿宋" w:cs="仿宋"/>
                <w:b w:val="0"/>
                <w:sz w:val="32"/>
                <w:lang w:val="en-US" w:eastAsia="zh-CN"/>
              </w:rPr>
              <w:t>27</w:t>
            </w:r>
            <w:r>
              <w:rPr>
                <w:rFonts w:ascii="仿宋" w:hAnsi="仿宋" w:eastAsia="仿宋" w:cs="仿宋"/>
                <w:b w:val="0"/>
                <w:sz w:val="32"/>
              </w:rPr>
              <w:t>.0</w:t>
            </w:r>
          </w:p>
        </w:tc>
        <w:tc>
          <w:tcPr>
            <w:noWrap w:val="0"/>
            <w:vAlign w:val="center"/>
          </w:tcPr>
          <w:p w14:paraId="77F65C86">
            <w:pPr>
              <w:jc w:val="center"/>
            </w:pPr>
            <w:r>
              <w:rPr>
                <w:rFonts w:hint="eastAsia" w:ascii="仿宋" w:hAnsi="仿宋" w:eastAsia="仿宋" w:cs="仿宋"/>
                <w:b w:val="0"/>
                <w:sz w:val="32"/>
                <w:lang w:val="en-US" w:eastAsia="zh-CN"/>
              </w:rPr>
              <w:t>75</w:t>
            </w:r>
            <w:r>
              <w:rPr>
                <w:rFonts w:ascii="仿宋" w:hAnsi="仿宋" w:eastAsia="仿宋" w:cs="仿宋"/>
                <w:b w:val="0"/>
                <w:sz w:val="32"/>
              </w:rPr>
              <w:t>.00%</w:t>
            </w:r>
          </w:p>
        </w:tc>
      </w:tr>
      <w:tr w14:paraId="1C31A5A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trPr>
        <w:tc>
          <w:tcPr>
            <w:noWrap w:val="0"/>
            <w:vAlign w:val="center"/>
          </w:tcPr>
          <w:p w14:paraId="56757E6E">
            <w:pPr>
              <w:jc w:val="center"/>
            </w:pPr>
            <w:r>
              <w:rPr>
                <w:rFonts w:ascii="仿宋" w:hAnsi="仿宋" w:eastAsia="仿宋" w:cs="仿宋"/>
                <w:b w:val="0"/>
                <w:sz w:val="32"/>
              </w:rPr>
              <w:t>效益指标</w:t>
            </w:r>
          </w:p>
        </w:tc>
        <w:tc>
          <w:tcPr>
            <w:noWrap w:val="0"/>
            <w:vAlign w:val="center"/>
          </w:tcPr>
          <w:p w14:paraId="4353DDFC">
            <w:pPr>
              <w:jc w:val="center"/>
            </w:pPr>
            <w:r>
              <w:rPr>
                <w:rFonts w:ascii="仿宋" w:hAnsi="仿宋" w:eastAsia="仿宋" w:cs="仿宋"/>
                <w:b w:val="0"/>
                <w:sz w:val="32"/>
              </w:rPr>
              <w:t>24.0</w:t>
            </w:r>
          </w:p>
        </w:tc>
        <w:tc>
          <w:tcPr>
            <w:noWrap w:val="0"/>
            <w:vAlign w:val="center"/>
          </w:tcPr>
          <w:p w14:paraId="73DB42CE">
            <w:pPr>
              <w:jc w:val="center"/>
            </w:pPr>
            <w:r>
              <w:rPr>
                <w:rFonts w:ascii="仿宋" w:hAnsi="仿宋" w:eastAsia="仿宋" w:cs="仿宋"/>
                <w:b w:val="0"/>
                <w:sz w:val="32"/>
              </w:rPr>
              <w:t>24.0</w:t>
            </w:r>
          </w:p>
        </w:tc>
        <w:tc>
          <w:tcPr>
            <w:noWrap w:val="0"/>
            <w:vAlign w:val="center"/>
          </w:tcPr>
          <w:p w14:paraId="73AADD49">
            <w:pPr>
              <w:jc w:val="center"/>
            </w:pPr>
            <w:r>
              <w:rPr>
                <w:rFonts w:ascii="仿宋" w:hAnsi="仿宋" w:eastAsia="仿宋" w:cs="仿宋"/>
                <w:b w:val="0"/>
                <w:sz w:val="32"/>
              </w:rPr>
              <w:t>100.00%</w:t>
            </w:r>
          </w:p>
        </w:tc>
      </w:tr>
    </w:tbl>
    <w:p w14:paraId="6DFE1E1B">
      <w:pPr>
        <w:spacing w:before="104" w:line="600" w:lineRule="exact"/>
        <w:ind w:firstLine="672"/>
        <w:outlineLvl w:val="0"/>
        <w:rPr>
          <w:rFonts w:ascii="黑体" w:hAnsi="黑体" w:eastAsia="黑体" w:cs="黑体"/>
          <w:spacing w:val="-2"/>
          <w:sz w:val="32"/>
          <w:szCs w:val="32"/>
        </w:rPr>
      </w:pPr>
      <w:bookmarkStart w:id="60" w:name="_Toc4462"/>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18549_WPSOffice_Level2"/>
      <w:bookmarkStart w:id="62" w:name="_Toc28988"/>
      <w:bookmarkStart w:id="63" w:name="_Toc379"/>
      <w:bookmarkStart w:id="64" w:name="_Toc17947"/>
      <w:bookmarkStart w:id="65" w:name="_Hlk2366513"/>
      <w:bookmarkStart w:id="66" w:name="_Toc26570_WPSOffice_Level2"/>
      <w:bookmarkStart w:id="67" w:name="_Toc24823_WPSOffice_Level2"/>
      <w:bookmarkStart w:id="68" w:name="_Toc4780_WPSOffice_Level2"/>
    </w:p>
    <w:p w14:paraId="7F43515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rPr>
      </w:pPr>
      <w:bookmarkStart w:id="69" w:name="_Toc6618"/>
      <w:r>
        <w:rPr>
          <w:rFonts w:hint="eastAsia" w:ascii="楷体_GB2312" w:hAnsi="楷体_GB2312" w:eastAsia="楷体_GB2312" w:cs="楷体_GB2312"/>
          <w:b/>
          <w:bCs/>
          <w:sz w:val="32"/>
          <w:szCs w:val="32"/>
        </w:rPr>
        <w:t>（一）决策指标（满分20.0分，实得1</w:t>
      </w: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.0分）</w:t>
      </w:r>
      <w:bookmarkEnd w:id="69"/>
    </w:p>
    <w:p w14:paraId="5D363F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1、项目立项（满分8.0分，实得8.0分）</w:t>
      </w:r>
    </w:p>
    <w:p w14:paraId="0BC59B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（1）立项依据充分性（满分5.0分，实得5.0分）</w:t>
      </w:r>
    </w:p>
    <w:p w14:paraId="789571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经过</w:t>
      </w:r>
      <w:r>
        <w:rPr>
          <w:rFonts w:ascii="仿宋" w:hAnsi="仿宋" w:eastAsia="仿宋" w:cs="仿宋"/>
          <w:sz w:val="32"/>
          <w:szCs w:val="32"/>
        </w:rPr>
        <w:t>2023年第一次扶风县人民政府常务会议纪要</w:t>
      </w:r>
      <w:r>
        <w:rPr>
          <w:rFonts w:hint="eastAsia" w:ascii="仿宋" w:hAnsi="仿宋" w:eastAsia="仿宋" w:cs="仿宋"/>
          <w:sz w:val="32"/>
          <w:szCs w:val="32"/>
          <w:lang w:val="en-US" w:eastAsia="zh-CN"/>
        </w:rPr>
        <w:t>讨论决定，</w:t>
      </w:r>
      <w:r>
        <w:rPr>
          <w:rFonts w:ascii="仿宋" w:hAnsi="仿宋" w:eastAsia="仿宋" w:cs="仿宋"/>
          <w:sz w:val="32"/>
          <w:szCs w:val="32"/>
        </w:rPr>
        <w:t>项目立项符合《扶风县招商引流优惠政策办法（试行）》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该项目的实施属于</w:t>
      </w:r>
      <w:r>
        <w:rPr>
          <w:rFonts w:ascii="仿宋" w:hAnsi="仿宋" w:eastAsia="仿宋" w:cs="仿宋"/>
          <w:sz w:val="32"/>
          <w:szCs w:val="32"/>
        </w:rPr>
        <w:t>扶风县新兴产业集聚服务中心</w:t>
      </w:r>
      <w:r>
        <w:rPr>
          <w:rFonts w:hint="eastAsia" w:ascii="仿宋" w:hAnsi="仿宋" w:eastAsia="仿宋" w:cs="仿宋"/>
          <w:sz w:val="32"/>
          <w:szCs w:val="32"/>
          <w:lang w:val="en-US" w:eastAsia="zh-CN"/>
        </w:rPr>
        <w:t>的职责范围；符合扶风县政策要求；项目</w:t>
      </w:r>
      <w:r>
        <w:rPr>
          <w:rFonts w:ascii="仿宋" w:hAnsi="仿宋" w:eastAsia="仿宋" w:cs="仿宋"/>
          <w:sz w:val="32"/>
          <w:szCs w:val="32"/>
        </w:rPr>
        <w:t>属于公共财政支持范围</w:t>
      </w:r>
      <w:r>
        <w:rPr>
          <w:rFonts w:hint="eastAsia" w:ascii="仿宋" w:hAnsi="仿宋" w:eastAsia="仿宋" w:cs="仿宋"/>
          <w:sz w:val="32"/>
          <w:szCs w:val="32"/>
          <w:lang w:val="en-US" w:eastAsia="zh-CN"/>
        </w:rPr>
        <w:t>和地方管理原则</w:t>
      </w:r>
      <w:r>
        <w:rPr>
          <w:rFonts w:hint="eastAsia" w:ascii="仿宋" w:hAnsi="仿宋" w:eastAsia="仿宋" w:cs="仿宋"/>
          <w:sz w:val="32"/>
          <w:szCs w:val="32"/>
          <w:lang w:eastAsia="zh-CN"/>
        </w:rPr>
        <w:t>；</w:t>
      </w:r>
      <w:r>
        <w:rPr>
          <w:rFonts w:ascii="仿宋" w:hAnsi="仿宋" w:eastAsia="仿宋" w:cs="仿宋"/>
          <w:sz w:val="32"/>
          <w:szCs w:val="32"/>
        </w:rPr>
        <w:t>与相关部门同类项目或部门内部相关项目不重复。经分析，</w:t>
      </w:r>
      <w:r>
        <w:rPr>
          <w:rFonts w:hint="eastAsia" w:ascii="仿宋" w:hAnsi="仿宋" w:eastAsia="仿宋" w:cs="仿宋"/>
          <w:sz w:val="32"/>
          <w:szCs w:val="32"/>
        </w:rPr>
        <w:t>项目立项符合经济发展规划和相关政策；</w:t>
      </w:r>
      <w:r>
        <w:rPr>
          <w:rFonts w:ascii="仿宋" w:hAnsi="仿宋" w:eastAsia="仿宋" w:cs="仿宋"/>
          <w:sz w:val="32"/>
          <w:szCs w:val="32"/>
        </w:rPr>
        <w:t>与部门职责范围相符</w:t>
      </w:r>
      <w:r>
        <w:rPr>
          <w:rFonts w:hint="eastAsia" w:ascii="仿宋" w:hAnsi="仿宋" w:eastAsia="仿宋" w:cs="仿宋"/>
          <w:sz w:val="32"/>
          <w:szCs w:val="32"/>
          <w:lang w:eastAsia="zh-CN"/>
        </w:rPr>
        <w:t>，</w:t>
      </w:r>
      <w:r>
        <w:rPr>
          <w:rFonts w:ascii="仿宋" w:hAnsi="仿宋" w:eastAsia="仿宋" w:cs="仿宋"/>
          <w:sz w:val="32"/>
          <w:szCs w:val="32"/>
        </w:rPr>
        <w:t>符合</w:t>
      </w:r>
      <w:r>
        <w:rPr>
          <w:rFonts w:hint="eastAsia" w:ascii="仿宋" w:hAnsi="仿宋" w:eastAsia="仿宋" w:cs="仿宋"/>
          <w:sz w:val="32"/>
          <w:szCs w:val="32"/>
          <w:lang w:val="en-US" w:eastAsia="zh-CN"/>
        </w:rPr>
        <w:t>地方</w:t>
      </w:r>
      <w:r>
        <w:rPr>
          <w:rFonts w:ascii="仿宋" w:hAnsi="仿宋" w:eastAsia="仿宋" w:cs="仿宋"/>
          <w:sz w:val="32"/>
          <w:szCs w:val="32"/>
        </w:rPr>
        <w:t>政策要求</w:t>
      </w:r>
      <w:r>
        <w:rPr>
          <w:rFonts w:hint="eastAsia" w:ascii="仿宋" w:hAnsi="仿宋" w:eastAsia="仿宋" w:cs="仿宋"/>
          <w:sz w:val="32"/>
          <w:szCs w:val="32"/>
          <w:lang w:eastAsia="zh-CN"/>
        </w:rPr>
        <w:t>，</w:t>
      </w:r>
      <w:r>
        <w:rPr>
          <w:rFonts w:ascii="仿宋" w:hAnsi="仿宋" w:eastAsia="仿宋" w:cs="仿宋"/>
          <w:sz w:val="32"/>
          <w:szCs w:val="32"/>
        </w:rPr>
        <w:t>与相关部门同类项目或部门内部相关项目不重复。</w:t>
      </w:r>
    </w:p>
    <w:p w14:paraId="1E9507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根据评分标准，本指标满分5.0分，扣0.0分，评价</w:t>
      </w:r>
    </w:p>
    <w:p w14:paraId="4434B9A8">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sz w:val="32"/>
          <w:szCs w:val="32"/>
        </w:rPr>
      </w:pPr>
      <w:r>
        <w:rPr>
          <w:rFonts w:ascii="仿宋" w:hAnsi="仿宋" w:eastAsia="仿宋" w:cs="仿宋"/>
          <w:sz w:val="32"/>
          <w:szCs w:val="32"/>
        </w:rPr>
        <w:t>得5.0分。</w:t>
      </w:r>
    </w:p>
    <w:p w14:paraId="3F6290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（2）立项程序规范性（满分3.0分，实得3.0分）</w:t>
      </w:r>
    </w:p>
    <w:p w14:paraId="21E869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扶风县新兴产业集聚服务中心进行内部决策</w:t>
      </w:r>
      <w:r>
        <w:rPr>
          <w:rFonts w:hint="eastAsia" w:ascii="仿宋" w:hAnsi="仿宋" w:eastAsia="仿宋" w:cs="仿宋"/>
          <w:sz w:val="32"/>
          <w:szCs w:val="32"/>
          <w:lang w:val="en-US" w:eastAsia="zh-CN"/>
        </w:rPr>
        <w:t>后</w:t>
      </w:r>
      <w:r>
        <w:rPr>
          <w:rFonts w:ascii="仿宋" w:hAnsi="仿宋" w:eastAsia="仿宋" w:cs="仿宋"/>
          <w:sz w:val="32"/>
          <w:szCs w:val="32"/>
        </w:rPr>
        <w:t>，向扶风县财政局提出申请，报扶风县人民政府，经2023年扶风县人民政府办公室第一次常务</w:t>
      </w:r>
      <w:r>
        <w:rPr>
          <w:rFonts w:hint="eastAsia" w:ascii="仿宋" w:hAnsi="仿宋" w:eastAsia="仿宋" w:cs="仿宋"/>
          <w:sz w:val="32"/>
          <w:szCs w:val="32"/>
          <w:lang w:val="en-US" w:eastAsia="zh-CN"/>
        </w:rPr>
        <w:t>会议</w:t>
      </w:r>
      <w:r>
        <w:rPr>
          <w:rFonts w:ascii="仿宋" w:hAnsi="仿宋" w:eastAsia="仿宋" w:cs="仿宋"/>
          <w:sz w:val="32"/>
          <w:szCs w:val="32"/>
        </w:rPr>
        <w:t>纪要审定通过。经分析，事前已经过必要的研究</w:t>
      </w:r>
      <w:r>
        <w:rPr>
          <w:rFonts w:hint="eastAsia" w:ascii="仿宋" w:hAnsi="仿宋" w:eastAsia="仿宋" w:cs="仿宋"/>
          <w:sz w:val="32"/>
          <w:szCs w:val="32"/>
          <w:lang w:val="en-US" w:eastAsia="zh-CN"/>
        </w:rPr>
        <w:t>和</w:t>
      </w:r>
      <w:r>
        <w:rPr>
          <w:rFonts w:ascii="仿宋" w:hAnsi="仿宋" w:eastAsia="仿宋" w:cs="仿宋"/>
          <w:sz w:val="32"/>
          <w:szCs w:val="32"/>
        </w:rPr>
        <w:t>决策</w:t>
      </w:r>
      <w:r>
        <w:rPr>
          <w:rFonts w:hint="eastAsia" w:ascii="仿宋" w:hAnsi="仿宋" w:eastAsia="仿宋" w:cs="仿宋"/>
          <w:sz w:val="32"/>
          <w:szCs w:val="32"/>
          <w:lang w:eastAsia="zh-CN"/>
        </w:rPr>
        <w:t>，</w:t>
      </w:r>
      <w:r>
        <w:rPr>
          <w:rFonts w:ascii="仿宋" w:hAnsi="仿宋" w:eastAsia="仿宋" w:cs="仿宋"/>
          <w:sz w:val="32"/>
          <w:szCs w:val="32"/>
        </w:rPr>
        <w:t>已经按照规定的程序申请设立</w:t>
      </w:r>
      <w:r>
        <w:rPr>
          <w:rFonts w:hint="eastAsia" w:ascii="仿宋" w:hAnsi="仿宋" w:eastAsia="仿宋" w:cs="仿宋"/>
          <w:sz w:val="32"/>
          <w:szCs w:val="32"/>
          <w:lang w:eastAsia="zh-CN"/>
        </w:rPr>
        <w:t>，</w:t>
      </w:r>
      <w:r>
        <w:rPr>
          <w:rFonts w:ascii="仿宋" w:hAnsi="仿宋" w:eastAsia="仿宋" w:cs="仿宋"/>
          <w:sz w:val="32"/>
          <w:szCs w:val="32"/>
        </w:rPr>
        <w:t>审批文件、材料符合相关要求。</w:t>
      </w:r>
    </w:p>
    <w:p w14:paraId="77CE31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根据评分标准，本指标满分3.0分，扣0.0分，评价得3.0分。</w:t>
      </w:r>
    </w:p>
    <w:p w14:paraId="1F6501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2、绩效目标（满分7.0分，实得</w:t>
      </w:r>
      <w:r>
        <w:rPr>
          <w:rFonts w:hint="eastAsia" w:ascii="仿宋" w:hAnsi="仿宋" w:eastAsia="仿宋" w:cs="仿宋"/>
          <w:sz w:val="32"/>
          <w:szCs w:val="32"/>
          <w:lang w:val="en-US" w:eastAsia="zh-CN"/>
        </w:rPr>
        <w:t>5</w:t>
      </w:r>
      <w:r>
        <w:rPr>
          <w:rFonts w:ascii="仿宋" w:hAnsi="仿宋" w:eastAsia="仿宋" w:cs="仿宋"/>
          <w:sz w:val="32"/>
          <w:szCs w:val="32"/>
        </w:rPr>
        <w:t>.0分）</w:t>
      </w:r>
    </w:p>
    <w:p w14:paraId="31177D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1</w:t>
      </w:r>
      <w:r>
        <w:rPr>
          <w:rFonts w:ascii="仿宋" w:hAnsi="仿宋" w:eastAsia="仿宋" w:cs="仿宋"/>
          <w:sz w:val="32"/>
          <w:szCs w:val="32"/>
        </w:rPr>
        <w:t>）绩效目标合理性（满分4.0分，实得</w:t>
      </w:r>
      <w:r>
        <w:rPr>
          <w:rFonts w:hint="eastAsia" w:ascii="仿宋" w:hAnsi="仿宋" w:eastAsia="仿宋" w:cs="仿宋"/>
          <w:sz w:val="32"/>
          <w:szCs w:val="32"/>
          <w:lang w:val="en-US" w:eastAsia="zh-CN"/>
        </w:rPr>
        <w:t>4</w:t>
      </w:r>
      <w:r>
        <w:rPr>
          <w:rFonts w:ascii="仿宋" w:hAnsi="仿宋" w:eastAsia="仿宋" w:cs="仿宋"/>
          <w:sz w:val="32"/>
          <w:szCs w:val="32"/>
        </w:rPr>
        <w:t>.0分）</w:t>
      </w:r>
    </w:p>
    <w:p w14:paraId="61EB88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ascii="仿宋" w:hAnsi="仿宋" w:eastAsia="仿宋" w:cs="仿宋"/>
          <w:sz w:val="32"/>
          <w:szCs w:val="32"/>
        </w:rPr>
        <w:t>项目</w:t>
      </w:r>
      <w:r>
        <w:rPr>
          <w:rFonts w:hint="eastAsia" w:ascii="仿宋" w:hAnsi="仿宋" w:eastAsia="仿宋" w:cs="仿宋"/>
          <w:sz w:val="32"/>
          <w:szCs w:val="32"/>
          <w:lang w:val="en-US" w:eastAsia="zh-CN"/>
        </w:rPr>
        <w:t>设置的</w:t>
      </w:r>
      <w:r>
        <w:rPr>
          <w:rFonts w:ascii="仿宋" w:hAnsi="仿宋" w:eastAsia="仿宋" w:cs="仿宋"/>
          <w:sz w:val="32"/>
          <w:szCs w:val="32"/>
        </w:rPr>
        <w:t>绩效目标</w:t>
      </w:r>
      <w:r>
        <w:rPr>
          <w:rFonts w:hint="eastAsia" w:ascii="仿宋" w:hAnsi="仿宋" w:eastAsia="仿宋" w:cs="仿宋"/>
          <w:sz w:val="32"/>
          <w:szCs w:val="32"/>
          <w:lang w:val="en-US" w:eastAsia="zh-CN"/>
        </w:rPr>
        <w:t>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比亚迪汽车线束生产线项目卫生间工程补助。经分析，</w:t>
      </w:r>
      <w:r>
        <w:rPr>
          <w:rFonts w:ascii="仿宋" w:hAnsi="仿宋" w:eastAsia="仿宋" w:cs="仿宋"/>
          <w:sz w:val="32"/>
          <w:szCs w:val="32"/>
        </w:rPr>
        <w:t>项目</w:t>
      </w:r>
      <w:r>
        <w:rPr>
          <w:rFonts w:hint="eastAsia" w:ascii="仿宋" w:hAnsi="仿宋" w:eastAsia="仿宋" w:cs="仿宋"/>
          <w:sz w:val="32"/>
          <w:szCs w:val="32"/>
          <w:lang w:val="en-US" w:eastAsia="zh-CN"/>
        </w:rPr>
        <w:t>设置了</w:t>
      </w:r>
      <w:r>
        <w:rPr>
          <w:rFonts w:ascii="仿宋" w:hAnsi="仿宋" w:eastAsia="仿宋" w:cs="仿宋"/>
          <w:sz w:val="32"/>
          <w:szCs w:val="32"/>
        </w:rPr>
        <w:t>绩效目标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绩效目标与实际工作内容具有相关性，预期产出效益和效果符合正常的业绩水平，与预算确定的项目投资额或资金量相匹配。</w:t>
      </w:r>
    </w:p>
    <w:p w14:paraId="08DF49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根据评分标准，本指标满分4.0分，扣</w:t>
      </w:r>
      <w:r>
        <w:rPr>
          <w:rFonts w:hint="eastAsia" w:ascii="仿宋" w:hAnsi="仿宋" w:eastAsia="仿宋" w:cs="仿宋"/>
          <w:sz w:val="32"/>
          <w:szCs w:val="32"/>
          <w:lang w:val="en-US" w:eastAsia="zh-CN"/>
        </w:rPr>
        <w:t>0</w:t>
      </w:r>
      <w:r>
        <w:rPr>
          <w:rFonts w:ascii="仿宋" w:hAnsi="仿宋" w:eastAsia="仿宋" w:cs="仿宋"/>
          <w:sz w:val="32"/>
          <w:szCs w:val="32"/>
        </w:rPr>
        <w:t>.0分，评价得</w:t>
      </w:r>
      <w:r>
        <w:rPr>
          <w:rFonts w:hint="eastAsia" w:ascii="仿宋" w:hAnsi="仿宋" w:eastAsia="仿宋" w:cs="仿宋"/>
          <w:sz w:val="32"/>
          <w:szCs w:val="32"/>
          <w:lang w:val="en-US" w:eastAsia="zh-CN"/>
        </w:rPr>
        <w:t>4</w:t>
      </w:r>
      <w:r>
        <w:rPr>
          <w:rFonts w:ascii="仿宋" w:hAnsi="仿宋" w:eastAsia="仿宋" w:cs="仿宋"/>
          <w:sz w:val="32"/>
          <w:szCs w:val="32"/>
        </w:rPr>
        <w:t>.0分。</w:t>
      </w:r>
    </w:p>
    <w:p w14:paraId="721E8C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lang w:val="en-US" w:eastAsia="zh-CN"/>
        </w:rPr>
        <w:t>2</w:t>
      </w:r>
      <w:r>
        <w:rPr>
          <w:rFonts w:ascii="仿宋" w:hAnsi="仿宋" w:eastAsia="仿宋" w:cs="仿宋"/>
          <w:sz w:val="32"/>
          <w:szCs w:val="32"/>
        </w:rPr>
        <w:t>）绩效指标明确性（满分3.0分，实得</w:t>
      </w:r>
      <w:r>
        <w:rPr>
          <w:rFonts w:hint="eastAsia" w:ascii="仿宋" w:hAnsi="仿宋" w:eastAsia="仿宋" w:cs="仿宋"/>
          <w:sz w:val="32"/>
          <w:szCs w:val="32"/>
          <w:lang w:val="en-US" w:eastAsia="zh-CN"/>
        </w:rPr>
        <w:t>1</w:t>
      </w:r>
      <w:r>
        <w:rPr>
          <w:rFonts w:ascii="仿宋" w:hAnsi="仿宋" w:eastAsia="仿宋" w:cs="仿宋"/>
          <w:sz w:val="32"/>
          <w:szCs w:val="32"/>
        </w:rPr>
        <w:t>.0分）</w:t>
      </w:r>
    </w:p>
    <w:p w14:paraId="448FF9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ascii="仿宋" w:hAnsi="仿宋" w:eastAsia="仿宋" w:cs="仿宋"/>
          <w:sz w:val="32"/>
          <w:szCs w:val="32"/>
        </w:rPr>
        <w:t>项目</w:t>
      </w:r>
      <w:r>
        <w:rPr>
          <w:rFonts w:hint="eastAsia" w:ascii="仿宋" w:hAnsi="仿宋" w:eastAsia="仿宋" w:cs="仿宋"/>
          <w:sz w:val="32"/>
          <w:szCs w:val="32"/>
          <w:lang w:val="en-US" w:eastAsia="zh-CN"/>
        </w:rPr>
        <w:t>已设置的</w:t>
      </w:r>
      <w:r>
        <w:rPr>
          <w:rFonts w:ascii="仿宋" w:hAnsi="仿宋" w:eastAsia="仿宋" w:cs="仿宋"/>
          <w:sz w:val="32"/>
          <w:szCs w:val="32"/>
        </w:rPr>
        <w:t>绩效指标</w:t>
      </w:r>
      <w:r>
        <w:rPr>
          <w:rFonts w:hint="eastAsia" w:ascii="仿宋" w:hAnsi="仿宋" w:eastAsia="仿宋" w:cs="仿宋"/>
          <w:sz w:val="32"/>
          <w:szCs w:val="32"/>
          <w:lang w:val="en-US" w:eastAsia="zh-CN"/>
        </w:rPr>
        <w:t>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日常维修完成率≥80%，消费者投诉处理率≥100%为产出指标；生态环境改善情况有所提高为效益指标；群众满意度≥90%为满意度指标。经分析，已将项目绩效目标细化分解为具体的绩效指标，绩效指标不清晰、不可衡量，与项目目标任务数无法对应。</w:t>
      </w:r>
    </w:p>
    <w:p w14:paraId="6F24AE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根据评分标准，本指标满分3.0分，扣</w:t>
      </w:r>
      <w:r>
        <w:rPr>
          <w:rFonts w:hint="eastAsia" w:ascii="仿宋" w:hAnsi="仿宋" w:eastAsia="仿宋" w:cs="仿宋"/>
          <w:sz w:val="32"/>
          <w:szCs w:val="32"/>
          <w:lang w:val="en-US" w:eastAsia="zh-CN"/>
        </w:rPr>
        <w:t>2</w:t>
      </w:r>
      <w:r>
        <w:rPr>
          <w:rFonts w:ascii="仿宋" w:hAnsi="仿宋" w:eastAsia="仿宋" w:cs="仿宋"/>
          <w:sz w:val="32"/>
          <w:szCs w:val="32"/>
        </w:rPr>
        <w:t>.0分，评价得</w:t>
      </w:r>
      <w:r>
        <w:rPr>
          <w:rFonts w:hint="eastAsia" w:ascii="仿宋" w:hAnsi="仿宋" w:eastAsia="仿宋" w:cs="仿宋"/>
          <w:sz w:val="32"/>
          <w:szCs w:val="32"/>
          <w:lang w:val="en-US" w:eastAsia="zh-CN"/>
        </w:rPr>
        <w:t>1</w:t>
      </w:r>
      <w:r>
        <w:rPr>
          <w:rFonts w:ascii="仿宋" w:hAnsi="仿宋" w:eastAsia="仿宋" w:cs="仿宋"/>
          <w:sz w:val="32"/>
          <w:szCs w:val="32"/>
        </w:rPr>
        <w:t>.0分。</w:t>
      </w:r>
    </w:p>
    <w:p w14:paraId="1BF17E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3、资金投入（满分5.0分，实得5.0分）</w:t>
      </w:r>
    </w:p>
    <w:p w14:paraId="4A8FC2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（1）预算编制科学性（满分2.0分，实得2.0分）</w:t>
      </w:r>
    </w:p>
    <w:p w14:paraId="435FFC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项目预算</w:t>
      </w:r>
      <w:r>
        <w:rPr>
          <w:rFonts w:hint="eastAsia" w:ascii="仿宋" w:hAnsi="仿宋" w:eastAsia="仿宋" w:cs="仿宋"/>
          <w:sz w:val="32"/>
          <w:szCs w:val="32"/>
          <w:lang w:val="en-US" w:eastAsia="zh-CN"/>
        </w:rPr>
        <w:t>金额</w:t>
      </w:r>
      <w:r>
        <w:rPr>
          <w:rFonts w:ascii="仿宋" w:hAnsi="仿宋" w:eastAsia="仿宋" w:cs="仿宋"/>
          <w:sz w:val="32"/>
          <w:szCs w:val="32"/>
        </w:rPr>
        <w:t>经扶风县新兴产业集聚服务中心组织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经宝鸡天正项目管理咨询有限公司</w:t>
      </w:r>
      <w:r>
        <w:rPr>
          <w:rFonts w:ascii="仿宋" w:hAnsi="仿宋" w:eastAsia="仿宋" w:cs="仿宋"/>
          <w:sz w:val="32"/>
          <w:szCs w:val="32"/>
        </w:rPr>
        <w:t>评审</w:t>
      </w:r>
      <w:r>
        <w:rPr>
          <w:rFonts w:hint="eastAsia" w:ascii="仿宋" w:hAnsi="仿宋" w:eastAsia="仿宋" w:cs="仿宋"/>
          <w:sz w:val="32"/>
          <w:szCs w:val="32"/>
          <w:lang w:val="en-US" w:eastAsia="zh-CN"/>
        </w:rPr>
        <w:t>金额为</w:t>
      </w:r>
      <w:r>
        <w:rPr>
          <w:rFonts w:hint="eastAsia" w:ascii="仿宋" w:hAnsi="仿宋" w:eastAsia="仿宋" w:cs="仿宋"/>
          <w:sz w:val="32"/>
          <w:szCs w:val="32"/>
        </w:rPr>
        <w:t>392.</w:t>
      </w:r>
      <w:r>
        <w:rPr>
          <w:rFonts w:hint="eastAsia" w:ascii="仿宋" w:hAnsi="仿宋" w:eastAsia="仿宋" w:cs="仿宋"/>
          <w:sz w:val="32"/>
          <w:szCs w:val="32"/>
          <w:lang w:val="en-US" w:eastAsia="zh-CN"/>
        </w:rPr>
        <w:t>59</w:t>
      </w:r>
      <w:r>
        <w:rPr>
          <w:rFonts w:hint="eastAsia" w:ascii="仿宋" w:hAnsi="仿宋" w:eastAsia="仿宋" w:cs="仿宋"/>
          <w:sz w:val="32"/>
          <w:szCs w:val="32"/>
        </w:rPr>
        <w:t>万元</w:t>
      </w:r>
      <w:r>
        <w:rPr>
          <w:rFonts w:ascii="仿宋" w:hAnsi="仿宋" w:eastAsia="仿宋" w:cs="仿宋"/>
          <w:sz w:val="32"/>
          <w:szCs w:val="32"/>
        </w:rPr>
        <w:t>。经分析，预算编制经过科学论证</w:t>
      </w:r>
      <w:r>
        <w:rPr>
          <w:rFonts w:hint="eastAsia" w:ascii="仿宋" w:hAnsi="仿宋" w:eastAsia="仿宋" w:cs="仿宋"/>
          <w:sz w:val="32"/>
          <w:szCs w:val="32"/>
          <w:lang w:eastAsia="zh-CN"/>
        </w:rPr>
        <w:t>，</w:t>
      </w:r>
      <w:r>
        <w:rPr>
          <w:rFonts w:ascii="仿宋" w:hAnsi="仿宋" w:eastAsia="仿宋" w:cs="仿宋"/>
          <w:sz w:val="32"/>
          <w:szCs w:val="32"/>
        </w:rPr>
        <w:t>预算内容与项目内容相匹配</w:t>
      </w:r>
      <w:r>
        <w:rPr>
          <w:rFonts w:hint="eastAsia" w:ascii="仿宋" w:hAnsi="仿宋" w:eastAsia="仿宋" w:cs="仿宋"/>
          <w:sz w:val="32"/>
          <w:szCs w:val="32"/>
          <w:lang w:eastAsia="zh-CN"/>
        </w:rPr>
        <w:t>，</w:t>
      </w:r>
      <w:r>
        <w:rPr>
          <w:rFonts w:ascii="仿宋" w:hAnsi="仿宋" w:eastAsia="仿宋" w:cs="仿宋"/>
          <w:sz w:val="32"/>
          <w:szCs w:val="32"/>
        </w:rPr>
        <w:t>预算额度测算依据充分</w:t>
      </w:r>
      <w:r>
        <w:rPr>
          <w:rFonts w:hint="eastAsia" w:ascii="仿宋" w:hAnsi="仿宋" w:eastAsia="仿宋" w:cs="仿宋"/>
          <w:sz w:val="32"/>
          <w:szCs w:val="32"/>
          <w:lang w:eastAsia="zh-CN"/>
        </w:rPr>
        <w:t>，</w:t>
      </w:r>
      <w:r>
        <w:rPr>
          <w:rFonts w:ascii="仿宋" w:hAnsi="仿宋" w:eastAsia="仿宋" w:cs="仿宋"/>
          <w:sz w:val="32"/>
          <w:szCs w:val="32"/>
        </w:rPr>
        <w:t>预算确定的项目投资额与工作任务相匹配。</w:t>
      </w:r>
    </w:p>
    <w:p w14:paraId="735539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根据评分标准，本指标满分2.0分，扣0.0分，评价得2.0分。</w:t>
      </w:r>
    </w:p>
    <w:p w14:paraId="5F3DC3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 w:hAnsi="仿宋" w:eastAsia="仿宋" w:cs="仿宋"/>
          <w:sz w:val="32"/>
          <w:szCs w:val="32"/>
        </w:rPr>
        <w:t>（2）资金分配合理性（满分3.0分，实得3.0分）</w:t>
      </w:r>
    </w:p>
    <w:p w14:paraId="4B6D2C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rPr>
        <w:t>项目预算资金由扶风县新兴产业集聚服务中心申请，经扶风县</w:t>
      </w:r>
      <w:r>
        <w:rPr>
          <w:rFonts w:hint="eastAsia" w:ascii="仿宋" w:hAnsi="仿宋" w:eastAsia="仿宋" w:cs="仿宋"/>
          <w:sz w:val="32"/>
          <w:szCs w:val="32"/>
          <w:lang w:val="en-US" w:eastAsia="zh-CN"/>
        </w:rPr>
        <w:t>财政局审核，并经县政府批准</w:t>
      </w:r>
      <w:r>
        <w:rPr>
          <w:rFonts w:ascii="仿宋" w:hAnsi="仿宋" w:eastAsia="仿宋" w:cs="仿宋"/>
          <w:sz w:val="32"/>
          <w:szCs w:val="32"/>
        </w:rPr>
        <w:t>后，由财政下达给扶风县</w:t>
      </w:r>
      <w:r>
        <w:rPr>
          <w:rFonts w:ascii="仿宋" w:hAnsi="仿宋" w:eastAsia="仿宋" w:cs="仿宋"/>
          <w:sz w:val="32"/>
          <w:szCs w:val="32"/>
          <w:highlight w:val="none"/>
        </w:rPr>
        <w:t>新兴产业集聚服务中心。资金拨付以批准的部门预算额度为准，如确需追加预算的，由扶风县新兴产业集聚服务中心按专项资金设立程序提出申请报扶风县财政局，并按照权限由扶风县财政局、县市长、政府常务会议审定。经分析，预算资金分配依据充分；资金分配额度合理、与项目实际相适应。</w:t>
      </w:r>
    </w:p>
    <w:p w14:paraId="662DB5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根据评分标准，本指标满分3.0分，扣0.0分，评价得3.0分。</w:t>
      </w:r>
    </w:p>
    <w:p w14:paraId="084D312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rPr>
      </w:pPr>
      <w:bookmarkStart w:id="70" w:name="_Toc19007"/>
      <w:r>
        <w:rPr>
          <w:rFonts w:hint="eastAsia" w:ascii="楷体_GB2312" w:hAnsi="楷体_GB2312" w:eastAsia="楷体_GB2312" w:cs="楷体_GB2312"/>
          <w:b/>
          <w:bCs/>
          <w:sz w:val="32"/>
          <w:szCs w:val="32"/>
        </w:rPr>
        <w:t>（二）过程指标（满分20.0分，实得1</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.5分）</w:t>
      </w:r>
      <w:bookmarkEnd w:id="70"/>
    </w:p>
    <w:p w14:paraId="48F630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1、资金管理（满分13.0分，实得1</w:t>
      </w:r>
      <w:r>
        <w:rPr>
          <w:rFonts w:hint="eastAsia" w:ascii="仿宋" w:hAnsi="仿宋" w:eastAsia="仿宋" w:cs="仿宋"/>
          <w:sz w:val="32"/>
          <w:szCs w:val="32"/>
          <w:highlight w:val="none"/>
          <w:lang w:val="en-US" w:eastAsia="zh-CN"/>
        </w:rPr>
        <w:t>1</w:t>
      </w:r>
      <w:r>
        <w:rPr>
          <w:rFonts w:ascii="仿宋" w:hAnsi="仿宋" w:eastAsia="仿宋" w:cs="仿宋"/>
          <w:sz w:val="32"/>
          <w:szCs w:val="32"/>
          <w:highlight w:val="none"/>
        </w:rPr>
        <w:t>.0分）</w:t>
      </w:r>
    </w:p>
    <w:p w14:paraId="3224F6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（1）资金到位率（满分4.0分，实得4.0分）</w:t>
      </w:r>
    </w:p>
    <w:p w14:paraId="1F0A48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评价小组查阅了项目有关的预算资金下达文件和资金拨付文件：扶风县财政局于2023年5月27日以</w:t>
      </w:r>
      <w:r>
        <w:rPr>
          <w:rFonts w:hint="eastAsia" w:ascii="仿宋" w:hAnsi="仿宋" w:eastAsia="仿宋" w:cs="仿宋"/>
          <w:sz w:val="32"/>
          <w:szCs w:val="32"/>
          <w:highlight w:val="none"/>
          <w:lang w:eastAsia="zh-CN"/>
        </w:rPr>
        <w:t>“</w:t>
      </w:r>
      <w:r>
        <w:rPr>
          <w:rFonts w:ascii="仿宋" w:hAnsi="仿宋" w:eastAsia="仿宋" w:cs="仿宋"/>
          <w:sz w:val="32"/>
          <w:szCs w:val="32"/>
          <w:highlight w:val="none"/>
        </w:rPr>
        <w:t>扶财办预〔2023〕050号</w:t>
      </w:r>
      <w:r>
        <w:rPr>
          <w:rFonts w:hint="eastAsia" w:ascii="仿宋" w:hAnsi="仿宋" w:eastAsia="仿宋" w:cs="仿宋"/>
          <w:sz w:val="32"/>
          <w:szCs w:val="32"/>
          <w:highlight w:val="none"/>
          <w:lang w:eastAsia="zh-CN"/>
        </w:rPr>
        <w:t>”</w:t>
      </w:r>
      <w:r>
        <w:rPr>
          <w:rFonts w:ascii="仿宋" w:hAnsi="仿宋" w:eastAsia="仿宋" w:cs="仿宋"/>
          <w:sz w:val="32"/>
          <w:szCs w:val="32"/>
          <w:highlight w:val="none"/>
        </w:rPr>
        <w:t>文件向扶风县新兴产业集聚服务中心下达比亚迪汽车线束生产线项目卫生间工程补助预算资金392.</w:t>
      </w:r>
      <w:r>
        <w:rPr>
          <w:rFonts w:hint="eastAsia" w:ascii="仿宋" w:hAnsi="仿宋" w:eastAsia="仿宋" w:cs="仿宋"/>
          <w:sz w:val="32"/>
          <w:szCs w:val="32"/>
          <w:highlight w:val="none"/>
          <w:lang w:val="en-US" w:eastAsia="zh-CN"/>
        </w:rPr>
        <w:t>59</w:t>
      </w:r>
      <w:r>
        <w:rPr>
          <w:rFonts w:ascii="仿宋" w:hAnsi="仿宋" w:eastAsia="仿宋" w:cs="仿宋"/>
          <w:sz w:val="32"/>
          <w:szCs w:val="32"/>
          <w:highlight w:val="none"/>
        </w:rPr>
        <w:t>万元，资金到位率100%。</w:t>
      </w:r>
    </w:p>
    <w:p w14:paraId="3FBD86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根据评分标准，本指标满分4.0分，扣0.0分，评价得4.0分。</w:t>
      </w:r>
    </w:p>
    <w:p w14:paraId="77BEF9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（2）预算执行率（满分5.0分，实得5.0分）</w:t>
      </w:r>
    </w:p>
    <w:p w14:paraId="0C864E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比亚迪汽车线束生产线项目卫生间工程补助各内容明细的实际到位资金为392.</w:t>
      </w:r>
      <w:r>
        <w:rPr>
          <w:rFonts w:hint="eastAsia" w:ascii="仿宋" w:hAnsi="仿宋" w:eastAsia="仿宋" w:cs="仿宋"/>
          <w:sz w:val="32"/>
          <w:szCs w:val="32"/>
          <w:highlight w:val="none"/>
          <w:lang w:val="en-US" w:eastAsia="zh-CN"/>
        </w:rPr>
        <w:t>59</w:t>
      </w:r>
      <w:r>
        <w:rPr>
          <w:rFonts w:ascii="仿宋" w:hAnsi="仿宋" w:eastAsia="仿宋" w:cs="仿宋"/>
          <w:sz w:val="32"/>
          <w:szCs w:val="32"/>
          <w:highlight w:val="none"/>
        </w:rPr>
        <w:t>万元，实际总支出资金为392.</w:t>
      </w:r>
      <w:r>
        <w:rPr>
          <w:rFonts w:hint="eastAsia" w:ascii="仿宋" w:hAnsi="仿宋" w:eastAsia="仿宋" w:cs="仿宋"/>
          <w:sz w:val="32"/>
          <w:szCs w:val="32"/>
          <w:highlight w:val="none"/>
          <w:lang w:val="en-US" w:eastAsia="zh-CN"/>
        </w:rPr>
        <w:t>59</w:t>
      </w:r>
      <w:r>
        <w:rPr>
          <w:rFonts w:ascii="仿宋" w:hAnsi="仿宋" w:eastAsia="仿宋" w:cs="仿宋"/>
          <w:sz w:val="32"/>
          <w:szCs w:val="32"/>
          <w:highlight w:val="none"/>
        </w:rPr>
        <w:t>万元，总预算执行率为100%。</w:t>
      </w:r>
    </w:p>
    <w:p w14:paraId="71F739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根据评分标准，本指标满分5.0分，扣0.0分，评价得5.0分。</w:t>
      </w:r>
    </w:p>
    <w:p w14:paraId="2A091D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（3）资金使用合规性（满分4.0分，实得</w:t>
      </w:r>
      <w:r>
        <w:rPr>
          <w:rFonts w:hint="eastAsia" w:ascii="仿宋" w:hAnsi="仿宋" w:eastAsia="仿宋" w:cs="仿宋"/>
          <w:sz w:val="32"/>
          <w:szCs w:val="32"/>
          <w:highlight w:val="none"/>
          <w:lang w:val="en-US" w:eastAsia="zh-CN"/>
        </w:rPr>
        <w:t>2</w:t>
      </w:r>
      <w:r>
        <w:rPr>
          <w:rFonts w:ascii="仿宋" w:hAnsi="仿宋" w:eastAsia="仿宋" w:cs="仿宋"/>
          <w:sz w:val="32"/>
          <w:szCs w:val="32"/>
          <w:highlight w:val="none"/>
        </w:rPr>
        <w:t>.0分）</w:t>
      </w:r>
    </w:p>
    <w:p w14:paraId="19D483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资金支付时</w:t>
      </w:r>
      <w:r>
        <w:rPr>
          <w:rFonts w:hint="eastAsia" w:ascii="仿宋" w:hAnsi="仿宋" w:eastAsia="仿宋" w:cs="仿宋"/>
          <w:sz w:val="32"/>
          <w:szCs w:val="32"/>
          <w:highlight w:val="none"/>
          <w:lang w:eastAsia="zh-CN"/>
        </w:rPr>
        <w:t>，</w:t>
      </w:r>
      <w:r>
        <w:rPr>
          <w:rFonts w:ascii="仿宋" w:hAnsi="仿宋" w:eastAsia="仿宋" w:cs="仿宋"/>
          <w:sz w:val="32"/>
          <w:szCs w:val="32"/>
          <w:highlight w:val="none"/>
        </w:rPr>
        <w:t>由扶风诺泰工贸有限公司提出申请，经扶风县新兴产业集聚服务中心审核并批准。项目达到合同规定的付款条件，凭合同、发票、验收资料等，按照</w:t>
      </w:r>
      <w:r>
        <w:rPr>
          <w:rFonts w:hint="eastAsia" w:ascii="仿宋" w:hAnsi="仿宋" w:eastAsia="仿宋" w:cs="仿宋"/>
          <w:sz w:val="32"/>
          <w:szCs w:val="32"/>
          <w:highlight w:val="none"/>
          <w:lang w:val="en-US" w:eastAsia="zh-CN"/>
        </w:rPr>
        <w:t>审</w:t>
      </w:r>
      <w:r>
        <w:rPr>
          <w:rFonts w:ascii="仿宋" w:hAnsi="仿宋" w:eastAsia="仿宋" w:cs="仿宋"/>
          <w:sz w:val="32"/>
          <w:szCs w:val="32"/>
          <w:highlight w:val="none"/>
        </w:rPr>
        <w:t>批流程批准后，资金直接支付给扶风诺泰工贸有限公司。经分析，项目资金的支出</w:t>
      </w:r>
      <w:r>
        <w:rPr>
          <w:rFonts w:hint="eastAsia" w:ascii="仿宋" w:hAnsi="仿宋" w:eastAsia="仿宋" w:cs="仿宋"/>
          <w:sz w:val="32"/>
          <w:szCs w:val="32"/>
          <w:highlight w:val="none"/>
          <w:lang w:val="en-US" w:eastAsia="zh-CN"/>
        </w:rPr>
        <w:t>无合同依据，不</w:t>
      </w:r>
      <w:r>
        <w:rPr>
          <w:rFonts w:ascii="仿宋" w:hAnsi="仿宋" w:eastAsia="仿宋" w:cs="仿宋"/>
          <w:sz w:val="32"/>
          <w:szCs w:val="32"/>
          <w:highlight w:val="none"/>
        </w:rPr>
        <w:t>符合国家财经法规的规定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不</w:t>
      </w:r>
      <w:r>
        <w:rPr>
          <w:rFonts w:ascii="仿宋" w:hAnsi="仿宋" w:eastAsia="仿宋" w:cs="仿宋"/>
          <w:sz w:val="32"/>
          <w:szCs w:val="32"/>
          <w:highlight w:val="none"/>
        </w:rPr>
        <w:t>符合项目合同规定的用途；</w:t>
      </w:r>
      <w:r>
        <w:rPr>
          <w:rFonts w:hint="eastAsia" w:ascii="仿宋" w:hAnsi="仿宋" w:eastAsia="仿宋" w:cs="仿宋"/>
          <w:sz w:val="32"/>
          <w:szCs w:val="32"/>
          <w:highlight w:val="none"/>
          <w:lang w:val="en-US" w:eastAsia="zh-CN"/>
        </w:rPr>
        <w:t>项目验收无正式验收手续，</w:t>
      </w:r>
      <w:r>
        <w:rPr>
          <w:rFonts w:ascii="仿宋" w:hAnsi="仿宋" w:eastAsia="仿宋" w:cs="仿宋"/>
          <w:sz w:val="32"/>
          <w:szCs w:val="32"/>
          <w:highlight w:val="none"/>
        </w:rPr>
        <w:t>资金的拨付审批程序和手续</w:t>
      </w:r>
      <w:r>
        <w:rPr>
          <w:rFonts w:hint="eastAsia" w:ascii="仿宋" w:hAnsi="仿宋" w:eastAsia="仿宋" w:cs="仿宋"/>
          <w:sz w:val="32"/>
          <w:szCs w:val="32"/>
          <w:highlight w:val="none"/>
          <w:lang w:val="en-US" w:eastAsia="zh-CN"/>
        </w:rPr>
        <w:t>不</w:t>
      </w:r>
      <w:r>
        <w:rPr>
          <w:rFonts w:ascii="仿宋" w:hAnsi="仿宋" w:eastAsia="仿宋" w:cs="仿宋"/>
          <w:sz w:val="32"/>
          <w:szCs w:val="32"/>
          <w:highlight w:val="none"/>
        </w:rPr>
        <w:t>完整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lang w:eastAsia="zh-CN"/>
        </w:rPr>
        <w:t>未存在截留、挤占、挪用、虚列支出等情况</w:t>
      </w:r>
      <w:r>
        <w:rPr>
          <w:rFonts w:ascii="仿宋" w:hAnsi="仿宋" w:eastAsia="仿宋" w:cs="仿宋"/>
          <w:sz w:val="32"/>
          <w:szCs w:val="32"/>
          <w:highlight w:val="none"/>
        </w:rPr>
        <w:t xml:space="preserve">。 </w:t>
      </w:r>
    </w:p>
    <w:p w14:paraId="35DBF4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根据评分标准，本指标满分4.0分，扣</w:t>
      </w:r>
      <w:r>
        <w:rPr>
          <w:rFonts w:hint="eastAsia" w:ascii="仿宋" w:hAnsi="仿宋" w:eastAsia="仿宋" w:cs="仿宋"/>
          <w:sz w:val="32"/>
          <w:szCs w:val="32"/>
          <w:highlight w:val="none"/>
          <w:lang w:val="en-US" w:eastAsia="zh-CN"/>
        </w:rPr>
        <w:t>2</w:t>
      </w:r>
      <w:r>
        <w:rPr>
          <w:rFonts w:ascii="仿宋" w:hAnsi="仿宋" w:eastAsia="仿宋" w:cs="仿宋"/>
          <w:sz w:val="32"/>
          <w:szCs w:val="32"/>
          <w:highlight w:val="none"/>
        </w:rPr>
        <w:t>.0分，评价得</w:t>
      </w:r>
      <w:r>
        <w:rPr>
          <w:rFonts w:hint="eastAsia" w:ascii="仿宋" w:hAnsi="仿宋" w:eastAsia="仿宋" w:cs="仿宋"/>
          <w:sz w:val="32"/>
          <w:szCs w:val="32"/>
          <w:highlight w:val="none"/>
          <w:lang w:val="en-US" w:eastAsia="zh-CN"/>
        </w:rPr>
        <w:t>2</w:t>
      </w:r>
      <w:r>
        <w:rPr>
          <w:rFonts w:ascii="仿宋" w:hAnsi="仿宋" w:eastAsia="仿宋" w:cs="仿宋"/>
          <w:sz w:val="32"/>
          <w:szCs w:val="32"/>
          <w:highlight w:val="none"/>
        </w:rPr>
        <w:t>.0分。</w:t>
      </w:r>
    </w:p>
    <w:p w14:paraId="0EDDD1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2、组织实施（满分7.0分，实得</w:t>
      </w:r>
      <w:r>
        <w:rPr>
          <w:rFonts w:hint="eastAsia" w:ascii="仿宋" w:hAnsi="仿宋" w:eastAsia="仿宋" w:cs="仿宋"/>
          <w:sz w:val="32"/>
          <w:szCs w:val="32"/>
          <w:highlight w:val="none"/>
          <w:lang w:val="en-US" w:eastAsia="zh-CN"/>
        </w:rPr>
        <w:t>2</w:t>
      </w:r>
      <w:r>
        <w:rPr>
          <w:rFonts w:ascii="仿宋" w:hAnsi="仿宋" w:eastAsia="仿宋" w:cs="仿宋"/>
          <w:sz w:val="32"/>
          <w:szCs w:val="32"/>
          <w:highlight w:val="none"/>
        </w:rPr>
        <w:t>.5分）</w:t>
      </w:r>
    </w:p>
    <w:p w14:paraId="5AFCD2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（1）项目采购规范性（满分3.0分，实得</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.0分）</w:t>
      </w:r>
    </w:p>
    <w:p w14:paraId="0E24BD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根据扶风县人民政府于2023年1月17日编制的《扶风县人民政府常务会议纪要》（第1号），扶风县新兴产业集聚服务中心负责项目管理，</w:t>
      </w:r>
      <w:r>
        <w:rPr>
          <w:rFonts w:hint="eastAsia" w:ascii="仿宋" w:hAnsi="仿宋" w:eastAsia="仿宋" w:cs="仿宋"/>
          <w:sz w:val="32"/>
          <w:szCs w:val="32"/>
          <w:highlight w:val="none"/>
          <w:lang w:val="en-US" w:eastAsia="zh-CN"/>
        </w:rPr>
        <w:t>项目未见政府采购程序。</w:t>
      </w:r>
      <w:r>
        <w:rPr>
          <w:rFonts w:ascii="仿宋" w:hAnsi="仿宋" w:eastAsia="仿宋" w:cs="仿宋"/>
          <w:sz w:val="32"/>
          <w:szCs w:val="32"/>
          <w:highlight w:val="none"/>
        </w:rPr>
        <w:t>扶风县新兴产业集聚服务中心</w:t>
      </w:r>
      <w:r>
        <w:rPr>
          <w:rFonts w:hint="eastAsia" w:ascii="仿宋" w:hAnsi="仿宋" w:eastAsia="仿宋" w:cs="仿宋"/>
          <w:sz w:val="32"/>
          <w:szCs w:val="32"/>
          <w:highlight w:val="none"/>
          <w:lang w:val="en-US" w:eastAsia="zh-CN"/>
        </w:rPr>
        <w:t>直接将补助款拨付给</w:t>
      </w:r>
      <w:r>
        <w:rPr>
          <w:rFonts w:ascii="仿宋" w:hAnsi="仿宋" w:eastAsia="仿宋" w:cs="仿宋"/>
          <w:sz w:val="32"/>
          <w:szCs w:val="32"/>
          <w:highlight w:val="none"/>
        </w:rPr>
        <w:t>扶风诺泰工贸有限公司</w:t>
      </w:r>
      <w:r>
        <w:rPr>
          <w:rFonts w:hint="eastAsia" w:ascii="仿宋" w:hAnsi="仿宋" w:eastAsia="仿宋" w:cs="仿宋"/>
          <w:sz w:val="32"/>
          <w:szCs w:val="32"/>
          <w:highlight w:val="none"/>
          <w:lang w:eastAsia="zh-CN"/>
        </w:rPr>
        <w:t>。</w:t>
      </w:r>
      <w:r>
        <w:rPr>
          <w:rFonts w:ascii="仿宋" w:hAnsi="仿宋" w:eastAsia="仿宋" w:cs="仿宋"/>
          <w:sz w:val="32"/>
          <w:szCs w:val="32"/>
          <w:highlight w:val="none"/>
        </w:rPr>
        <w:t>经分析，项目</w:t>
      </w:r>
      <w:r>
        <w:rPr>
          <w:rFonts w:hint="eastAsia" w:ascii="仿宋" w:hAnsi="仿宋" w:eastAsia="仿宋" w:cs="仿宋"/>
          <w:sz w:val="32"/>
          <w:szCs w:val="32"/>
          <w:highlight w:val="none"/>
          <w:lang w:val="en-US" w:eastAsia="zh-CN"/>
        </w:rPr>
        <w:t>未</w:t>
      </w:r>
      <w:r>
        <w:rPr>
          <w:rFonts w:ascii="仿宋" w:hAnsi="仿宋" w:eastAsia="仿宋" w:cs="仿宋"/>
          <w:sz w:val="32"/>
          <w:szCs w:val="32"/>
          <w:highlight w:val="none"/>
        </w:rPr>
        <w:t>执行采购程序。</w:t>
      </w:r>
    </w:p>
    <w:p w14:paraId="4A9CB0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根据评分标准，本指标满分3.0分，扣</w:t>
      </w:r>
      <w:r>
        <w:rPr>
          <w:rFonts w:hint="eastAsia" w:ascii="仿宋" w:hAnsi="仿宋" w:eastAsia="仿宋" w:cs="仿宋"/>
          <w:sz w:val="32"/>
          <w:szCs w:val="32"/>
          <w:highlight w:val="none"/>
          <w:lang w:val="en-US" w:eastAsia="zh-CN"/>
        </w:rPr>
        <w:t>3</w:t>
      </w:r>
      <w:r>
        <w:rPr>
          <w:rFonts w:ascii="仿宋" w:hAnsi="仿宋" w:eastAsia="仿宋" w:cs="仿宋"/>
          <w:sz w:val="32"/>
          <w:szCs w:val="32"/>
          <w:highlight w:val="none"/>
        </w:rPr>
        <w:t>.0分，评价得</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.0分。</w:t>
      </w:r>
    </w:p>
    <w:p w14:paraId="2B80BF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（2）绩效自评规范性（满分4.0分，实得</w:t>
      </w:r>
      <w:r>
        <w:rPr>
          <w:rFonts w:hint="eastAsia" w:ascii="仿宋" w:hAnsi="仿宋" w:eastAsia="仿宋" w:cs="仿宋"/>
          <w:sz w:val="32"/>
          <w:szCs w:val="32"/>
          <w:highlight w:val="none"/>
          <w:lang w:val="en-US" w:eastAsia="zh-CN"/>
        </w:rPr>
        <w:t>2</w:t>
      </w:r>
      <w:r>
        <w:rPr>
          <w:rFonts w:ascii="仿宋" w:hAnsi="仿宋" w:eastAsia="仿宋" w:cs="仿宋"/>
          <w:sz w:val="32"/>
          <w:szCs w:val="32"/>
          <w:highlight w:val="none"/>
        </w:rPr>
        <w:t>.5分）</w:t>
      </w:r>
    </w:p>
    <w:p w14:paraId="164510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扶风县新兴产业集聚服务中心对专项资金实施效果进行绩效自评，编制绩效自评表及</w:t>
      </w:r>
      <w:r>
        <w:rPr>
          <w:rFonts w:hint="eastAsia" w:ascii="仿宋" w:hAnsi="仿宋" w:eastAsia="仿宋" w:cs="仿宋"/>
          <w:sz w:val="32"/>
          <w:szCs w:val="32"/>
          <w:highlight w:val="none"/>
          <w:lang w:val="en-US" w:eastAsia="zh-CN"/>
        </w:rPr>
        <w:t>绩效</w:t>
      </w:r>
      <w:r>
        <w:rPr>
          <w:rFonts w:ascii="仿宋" w:hAnsi="仿宋" w:eastAsia="仿宋" w:cs="仿宋"/>
          <w:sz w:val="32"/>
          <w:szCs w:val="32"/>
          <w:highlight w:val="none"/>
        </w:rPr>
        <w:t>自评报告。经分析，项目实施单位进行了绩效自评，有完整的自评表及报告，打分表分数设立不恰当</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自评报告内容不详实</w:t>
      </w:r>
      <w:r>
        <w:rPr>
          <w:rFonts w:ascii="仿宋" w:hAnsi="仿宋" w:eastAsia="仿宋" w:cs="仿宋"/>
          <w:sz w:val="32"/>
          <w:szCs w:val="32"/>
          <w:highlight w:val="none"/>
        </w:rPr>
        <w:t xml:space="preserve">。 </w:t>
      </w:r>
    </w:p>
    <w:p w14:paraId="7DDD6E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根据评分标准，本指标满分4.0分，扣</w:t>
      </w:r>
      <w:r>
        <w:rPr>
          <w:rFonts w:hint="eastAsia" w:ascii="仿宋" w:hAnsi="仿宋" w:eastAsia="仿宋" w:cs="仿宋"/>
          <w:sz w:val="32"/>
          <w:szCs w:val="32"/>
          <w:highlight w:val="none"/>
          <w:lang w:val="en-US" w:eastAsia="zh-CN"/>
        </w:rPr>
        <w:t>1</w:t>
      </w:r>
      <w:r>
        <w:rPr>
          <w:rFonts w:ascii="仿宋" w:hAnsi="仿宋" w:eastAsia="仿宋" w:cs="仿宋"/>
          <w:sz w:val="32"/>
          <w:szCs w:val="32"/>
          <w:highlight w:val="none"/>
        </w:rPr>
        <w:t>.5分，评价得</w:t>
      </w:r>
      <w:r>
        <w:rPr>
          <w:rFonts w:hint="eastAsia" w:ascii="仿宋" w:hAnsi="仿宋" w:eastAsia="仿宋" w:cs="仿宋"/>
          <w:sz w:val="32"/>
          <w:szCs w:val="32"/>
          <w:highlight w:val="none"/>
          <w:lang w:val="en-US" w:eastAsia="zh-CN"/>
        </w:rPr>
        <w:t>2</w:t>
      </w:r>
      <w:r>
        <w:rPr>
          <w:rFonts w:ascii="仿宋" w:hAnsi="仿宋" w:eastAsia="仿宋" w:cs="仿宋"/>
          <w:sz w:val="32"/>
          <w:szCs w:val="32"/>
          <w:highlight w:val="none"/>
        </w:rPr>
        <w:t>.5分。</w:t>
      </w:r>
    </w:p>
    <w:p w14:paraId="0D99E61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rPr>
      </w:pPr>
      <w:bookmarkStart w:id="71" w:name="_Toc31109"/>
      <w:r>
        <w:rPr>
          <w:rFonts w:hint="eastAsia" w:ascii="楷体_GB2312" w:hAnsi="楷体_GB2312" w:eastAsia="楷体_GB2312" w:cs="楷体_GB2312"/>
          <w:b/>
          <w:bCs/>
          <w:sz w:val="32"/>
          <w:szCs w:val="32"/>
        </w:rPr>
        <w:t>（三）产出指标（满分36.0分，实得</w:t>
      </w:r>
      <w:r>
        <w:rPr>
          <w:rFonts w:hint="eastAsia" w:ascii="楷体_GB2312" w:hAnsi="楷体_GB2312" w:eastAsia="楷体_GB2312" w:cs="楷体_GB2312"/>
          <w:b/>
          <w:bCs/>
          <w:sz w:val="32"/>
          <w:szCs w:val="32"/>
          <w:lang w:val="en-US" w:eastAsia="zh-CN"/>
        </w:rPr>
        <w:t>27</w:t>
      </w:r>
      <w:r>
        <w:rPr>
          <w:rFonts w:hint="eastAsia" w:ascii="楷体_GB2312" w:hAnsi="楷体_GB2312" w:eastAsia="楷体_GB2312" w:cs="楷体_GB2312"/>
          <w:b/>
          <w:bCs/>
          <w:sz w:val="32"/>
          <w:szCs w:val="32"/>
        </w:rPr>
        <w:t>.0分）</w:t>
      </w:r>
      <w:bookmarkEnd w:id="71"/>
    </w:p>
    <w:p w14:paraId="74EAD7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1、数量指标（满分9.0分，实得9.0分）</w:t>
      </w:r>
    </w:p>
    <w:p w14:paraId="618770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项目</w:t>
      </w:r>
      <w:r>
        <w:rPr>
          <w:rFonts w:ascii="仿宋" w:hAnsi="仿宋" w:eastAsia="仿宋" w:cs="仿宋"/>
          <w:sz w:val="32"/>
          <w:szCs w:val="32"/>
          <w:highlight w:val="none"/>
        </w:rPr>
        <w:t>实际完成率（满分9.0分，实得9.0分）</w:t>
      </w:r>
    </w:p>
    <w:p w14:paraId="529E40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为了核实项目的实际完成情况，评价小组检查了在租赁诺泰包装产业园二期的4栋标准化厂房中增设的10个卫生间，以及室外排污工程，项目内容已全部实施。</w:t>
      </w:r>
    </w:p>
    <w:p w14:paraId="791A2B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根据评分标准，本指标满分9.0分，扣0.0分，评价得9.0分。</w:t>
      </w:r>
    </w:p>
    <w:p w14:paraId="20AFA5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2、质量指标（满分9.0分，实得9.0分）</w:t>
      </w:r>
    </w:p>
    <w:p w14:paraId="707149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项目</w:t>
      </w:r>
      <w:r>
        <w:rPr>
          <w:rFonts w:ascii="仿宋" w:hAnsi="仿宋" w:eastAsia="仿宋" w:cs="仿宋"/>
          <w:sz w:val="32"/>
          <w:szCs w:val="32"/>
          <w:highlight w:val="none"/>
        </w:rPr>
        <w:t>质量合格率（满分9.0分，实得</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.0分）</w:t>
      </w:r>
    </w:p>
    <w:p w14:paraId="414CEA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在租赁诺泰包装产业园二期的4栋标准化厂房中增设的10个卫生间，以及室外排污工程，</w:t>
      </w:r>
      <w:r>
        <w:rPr>
          <w:rFonts w:hint="eastAsia" w:ascii="仿宋" w:hAnsi="仿宋" w:eastAsia="仿宋" w:cs="仿宋"/>
          <w:sz w:val="32"/>
          <w:szCs w:val="32"/>
          <w:highlight w:val="none"/>
          <w:lang w:val="en-US" w:eastAsia="zh-CN"/>
        </w:rPr>
        <w:t>未提供验收资料</w:t>
      </w:r>
      <w:r>
        <w:rPr>
          <w:rFonts w:ascii="仿宋" w:hAnsi="仿宋" w:eastAsia="仿宋" w:cs="仿宋"/>
          <w:sz w:val="32"/>
          <w:szCs w:val="32"/>
          <w:highlight w:val="none"/>
        </w:rPr>
        <w:t>。</w:t>
      </w:r>
    </w:p>
    <w:p w14:paraId="061A3A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根据评分标准，本指标满分9.0分，扣</w:t>
      </w:r>
      <w:r>
        <w:rPr>
          <w:rFonts w:hint="eastAsia" w:ascii="仿宋" w:hAnsi="仿宋" w:eastAsia="仿宋" w:cs="仿宋"/>
          <w:sz w:val="32"/>
          <w:szCs w:val="32"/>
          <w:highlight w:val="none"/>
          <w:lang w:val="en-US" w:eastAsia="zh-CN"/>
        </w:rPr>
        <w:t>9</w:t>
      </w:r>
      <w:r>
        <w:rPr>
          <w:rFonts w:ascii="仿宋" w:hAnsi="仿宋" w:eastAsia="仿宋" w:cs="仿宋"/>
          <w:sz w:val="32"/>
          <w:szCs w:val="32"/>
          <w:highlight w:val="none"/>
        </w:rPr>
        <w:t>.0分，评价得</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.0分。</w:t>
      </w:r>
    </w:p>
    <w:p w14:paraId="78A2CC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3、时效指标（满分9.0分，实得9.0分）</w:t>
      </w:r>
    </w:p>
    <w:p w14:paraId="1ED40A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项目</w:t>
      </w:r>
      <w:r>
        <w:rPr>
          <w:rFonts w:ascii="仿宋" w:hAnsi="仿宋" w:eastAsia="仿宋" w:cs="仿宋"/>
          <w:sz w:val="32"/>
          <w:szCs w:val="32"/>
          <w:highlight w:val="none"/>
        </w:rPr>
        <w:t>完成及时率（满分9.0分，实得9.0分）</w:t>
      </w:r>
    </w:p>
    <w:p w14:paraId="547FD7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在租赁诺泰包装产业园二期的4栋标准化厂房中建设10个卫生间项目，已在2023年度完成。</w:t>
      </w:r>
    </w:p>
    <w:p w14:paraId="06A99B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根据评分标准，本指标满分9.0分，扣0.0分，评价得9.0分。</w:t>
      </w:r>
    </w:p>
    <w:p w14:paraId="4D3751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4、成本指标（满分9.0分，实得9.0分）</w:t>
      </w:r>
    </w:p>
    <w:p w14:paraId="3A6855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w:t>
      </w:r>
      <w:r>
        <w:rPr>
          <w:rFonts w:hint="eastAsia" w:ascii="仿宋" w:hAnsi="仿宋" w:eastAsia="仿宋" w:cs="仿宋"/>
          <w:sz w:val="32"/>
          <w:szCs w:val="32"/>
          <w:highlight w:val="none"/>
          <w:lang w:val="en-US" w:eastAsia="zh-CN"/>
        </w:rPr>
        <w:t>项目</w:t>
      </w:r>
      <w:r>
        <w:rPr>
          <w:rFonts w:ascii="仿宋" w:hAnsi="仿宋" w:eastAsia="仿宋" w:cs="仿宋"/>
          <w:sz w:val="32"/>
          <w:szCs w:val="32"/>
          <w:highlight w:val="none"/>
        </w:rPr>
        <w:t>成本节约率（满分9.0分，实得9.0分）</w:t>
      </w:r>
    </w:p>
    <w:p w14:paraId="3183AC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预算下达资金392.</w:t>
      </w:r>
      <w:r>
        <w:rPr>
          <w:rFonts w:hint="eastAsia" w:ascii="仿宋" w:hAnsi="仿宋" w:eastAsia="仿宋" w:cs="仿宋"/>
          <w:sz w:val="32"/>
          <w:szCs w:val="32"/>
          <w:highlight w:val="none"/>
          <w:lang w:val="en-US" w:eastAsia="zh-CN"/>
        </w:rPr>
        <w:t>59</w:t>
      </w:r>
      <w:r>
        <w:rPr>
          <w:rFonts w:ascii="仿宋" w:hAnsi="仿宋" w:eastAsia="仿宋" w:cs="仿宋"/>
          <w:sz w:val="32"/>
          <w:szCs w:val="32"/>
          <w:highlight w:val="none"/>
        </w:rPr>
        <w:t>万元，截</w:t>
      </w:r>
      <w:r>
        <w:rPr>
          <w:rFonts w:hint="eastAsia" w:ascii="仿宋" w:hAnsi="仿宋" w:eastAsia="仿宋" w:cs="仿宋"/>
          <w:sz w:val="32"/>
          <w:szCs w:val="32"/>
          <w:highlight w:val="none"/>
          <w:lang w:val="en-US" w:eastAsia="zh-CN"/>
        </w:rPr>
        <w:t>至</w:t>
      </w:r>
      <w:r>
        <w:rPr>
          <w:rFonts w:ascii="仿宋" w:hAnsi="仿宋" w:eastAsia="仿宋" w:cs="仿宋"/>
          <w:sz w:val="32"/>
          <w:szCs w:val="32"/>
          <w:highlight w:val="none"/>
        </w:rPr>
        <w:t>2023年5月26日支出392.</w:t>
      </w:r>
      <w:r>
        <w:rPr>
          <w:rFonts w:hint="eastAsia" w:ascii="仿宋" w:hAnsi="仿宋" w:eastAsia="仿宋" w:cs="仿宋"/>
          <w:sz w:val="32"/>
          <w:szCs w:val="32"/>
          <w:highlight w:val="none"/>
          <w:lang w:val="en-US" w:eastAsia="zh-CN"/>
        </w:rPr>
        <w:t>59</w:t>
      </w:r>
      <w:r>
        <w:rPr>
          <w:rFonts w:ascii="仿宋" w:hAnsi="仿宋" w:eastAsia="仿宋" w:cs="仿宋"/>
          <w:sz w:val="32"/>
          <w:szCs w:val="32"/>
          <w:highlight w:val="none"/>
        </w:rPr>
        <w:t>万元，成本节约率为0%。</w:t>
      </w:r>
      <w:bookmarkStart w:id="84" w:name="_GoBack"/>
      <w:bookmarkEnd w:id="84"/>
    </w:p>
    <w:p w14:paraId="494EFF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根据评分标准，本指标满分9.0分，扣0.0分，评价得9.0分。</w:t>
      </w:r>
    </w:p>
    <w:p w14:paraId="17B62D1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rPr>
      </w:pPr>
      <w:bookmarkStart w:id="72" w:name="_Toc4609"/>
      <w:r>
        <w:rPr>
          <w:rFonts w:hint="eastAsia" w:ascii="楷体_GB2312" w:hAnsi="楷体_GB2312" w:eastAsia="楷体_GB2312" w:cs="楷体_GB2312"/>
          <w:b/>
          <w:bCs/>
          <w:sz w:val="32"/>
          <w:szCs w:val="32"/>
        </w:rPr>
        <w:t>（四）效益指标（满分24.0分，实得24.0分）</w:t>
      </w:r>
      <w:bookmarkEnd w:id="72"/>
    </w:p>
    <w:p w14:paraId="2842A7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1、社会效益（满分18.0分，实得18.0分）</w:t>
      </w:r>
    </w:p>
    <w:p w14:paraId="183980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（1）改善工作环境，保障公共卫生，提升企业形象（满分18.0分，实得18.0分）</w:t>
      </w:r>
    </w:p>
    <w:p w14:paraId="7FE525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项目的实施能够改善工作环境，保障公众卫生，维护员工健康，提升企业形象。</w:t>
      </w:r>
    </w:p>
    <w:p w14:paraId="1E235D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根据评分标准，本指标满分18.0分，扣0.0分，评价得18.0分。</w:t>
      </w:r>
    </w:p>
    <w:p w14:paraId="201191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2、满意度（满分6.0分，实得6.0分）</w:t>
      </w:r>
    </w:p>
    <w:p w14:paraId="5E42CB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（1）企业员工满意度（满分6.0分，实得6.0分）</w:t>
      </w:r>
    </w:p>
    <w:p w14:paraId="7A799A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 xml:space="preserve">评价组机构通过抽样共计发放20份问卷，社会公众对项目的整体评价为非常满意。满意度调查情况详见《调查问卷分析》。 </w:t>
      </w:r>
    </w:p>
    <w:p w14:paraId="716E95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highlight w:val="none"/>
        </w:rPr>
      </w:pPr>
      <w:r>
        <w:rPr>
          <w:rFonts w:ascii="仿宋" w:hAnsi="仿宋" w:eastAsia="仿宋" w:cs="仿宋"/>
          <w:sz w:val="32"/>
          <w:szCs w:val="32"/>
          <w:highlight w:val="none"/>
        </w:rPr>
        <w:t>根据评分标准，本指标满分6.0分，扣0.0分，评价得6.0分。</w:t>
      </w:r>
    </w:p>
    <w:p w14:paraId="421528FB">
      <w:pPr>
        <w:spacing w:before="104" w:line="600" w:lineRule="exact"/>
        <w:ind w:firstLine="672"/>
        <w:outlineLvl w:val="0"/>
        <w:rPr>
          <w:rFonts w:ascii="黑体" w:hAnsi="黑体" w:eastAsia="黑体" w:cs="黑体"/>
          <w:spacing w:val="-2"/>
          <w:sz w:val="32"/>
          <w:szCs w:val="32"/>
          <w:highlight w:val="none"/>
        </w:rPr>
      </w:pPr>
      <w:bookmarkStart w:id="73" w:name="_Toc24213"/>
      <w:r>
        <w:rPr>
          <w:rFonts w:hint="eastAsia" w:ascii="黑体" w:hAnsi="黑体" w:eastAsia="黑体" w:cs="黑体"/>
          <w:spacing w:val="-2"/>
          <w:sz w:val="32"/>
          <w:szCs w:val="32"/>
          <w:highlight w:val="none"/>
          <w:lang w:val="en-US" w:eastAsia="zh-CN"/>
        </w:rPr>
        <w:t>五</w:t>
      </w:r>
      <w:r>
        <w:rPr>
          <w:rFonts w:hint="eastAsia" w:ascii="黑体" w:hAnsi="黑体" w:eastAsia="黑体" w:cs="黑体"/>
          <w:spacing w:val="-2"/>
          <w:sz w:val="32"/>
          <w:szCs w:val="32"/>
          <w:highlight w:val="none"/>
        </w:rPr>
        <w:t>、存在的问题</w:t>
      </w:r>
      <w:bookmarkEnd w:id="73"/>
    </w:p>
    <w:p w14:paraId="1D87CCA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74" w:name="_Toc23539"/>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w:t>
      </w:r>
      <w:r>
        <w:rPr>
          <w:rFonts w:hint="eastAsia" w:ascii="楷体_GB2312" w:hAnsi="楷体_GB2312" w:eastAsia="楷体_GB2312" w:cs="楷体_GB2312"/>
          <w:b/>
          <w:bCs/>
          <w:sz w:val="32"/>
          <w:szCs w:val="32"/>
          <w:lang w:val="en-US" w:eastAsia="zh-CN"/>
        </w:rPr>
        <w:t>设置的</w:t>
      </w:r>
      <w:r>
        <w:rPr>
          <w:rFonts w:hint="eastAsia" w:ascii="楷体_GB2312" w:hAnsi="楷体_GB2312" w:eastAsia="楷体_GB2312" w:cs="楷体_GB2312"/>
          <w:b/>
          <w:bCs/>
          <w:sz w:val="32"/>
          <w:szCs w:val="32"/>
        </w:rPr>
        <w:t>绩效</w:t>
      </w:r>
      <w:r>
        <w:rPr>
          <w:rFonts w:hint="eastAsia" w:ascii="楷体_GB2312" w:hAnsi="楷体_GB2312" w:eastAsia="楷体_GB2312" w:cs="楷体_GB2312"/>
          <w:b/>
          <w:bCs/>
          <w:sz w:val="32"/>
          <w:szCs w:val="32"/>
          <w:lang w:val="en-US" w:eastAsia="zh-CN"/>
        </w:rPr>
        <w:t>指标不清晰、不可衡量，与项目目标任务数无法对应</w:t>
      </w:r>
      <w:bookmarkEnd w:id="74"/>
    </w:p>
    <w:p w14:paraId="2AE5C30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rPr>
      </w:pPr>
      <w:bookmarkStart w:id="75" w:name="_Toc2813"/>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自评表得分不正确</w:t>
      </w:r>
      <w:bookmarkEnd w:id="75"/>
    </w:p>
    <w:p w14:paraId="0B454112">
      <w:pPr>
        <w:spacing w:line="600" w:lineRule="exact"/>
        <w:ind w:firstLine="640"/>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在项目的自评表中，项目资金与绩效指标共设置了100分，经计算，实际得分为105分，超过总分。</w:t>
      </w:r>
    </w:p>
    <w:p w14:paraId="1D58855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lang w:eastAsia="zh-CN"/>
        </w:rPr>
      </w:pPr>
      <w:bookmarkStart w:id="76" w:name="_Toc22305"/>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项目</w:t>
      </w:r>
      <w:r>
        <w:rPr>
          <w:rFonts w:hint="eastAsia" w:ascii="楷体_GB2312" w:hAnsi="楷体_GB2312" w:eastAsia="楷体_GB2312" w:cs="楷体_GB2312"/>
          <w:b/>
          <w:bCs/>
          <w:sz w:val="32"/>
          <w:szCs w:val="32"/>
          <w:lang w:val="en-US" w:eastAsia="zh-CN"/>
        </w:rPr>
        <w:t>未</w:t>
      </w:r>
      <w:r>
        <w:rPr>
          <w:rFonts w:hint="eastAsia" w:ascii="楷体_GB2312" w:hAnsi="楷体_GB2312" w:eastAsia="楷体_GB2312" w:cs="楷体_GB2312"/>
          <w:b/>
          <w:bCs/>
          <w:sz w:val="32"/>
          <w:szCs w:val="32"/>
          <w:lang w:eastAsia="zh-CN"/>
        </w:rPr>
        <w:t>执行采购程序</w:t>
      </w:r>
      <w:bookmarkEnd w:id="76"/>
    </w:p>
    <w:p w14:paraId="58E260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lang w:eastAsia="zh-CN"/>
        </w:rPr>
      </w:pPr>
      <w:bookmarkStart w:id="77" w:name="_Toc15064"/>
      <w:r>
        <w:rPr>
          <w:rFonts w:hint="eastAsia" w:ascii="楷体_GB2312" w:hAnsi="楷体_GB2312" w:eastAsia="楷体_GB2312" w:cs="楷体_GB2312"/>
          <w:b/>
          <w:bCs/>
          <w:sz w:val="32"/>
          <w:szCs w:val="32"/>
          <w:lang w:val="en-US" w:eastAsia="zh-CN"/>
        </w:rPr>
        <w:t>（四）项目未履行验收手续</w:t>
      </w:r>
      <w:bookmarkEnd w:id="77"/>
    </w:p>
    <w:p w14:paraId="78E5A846">
      <w:pPr>
        <w:spacing w:line="600" w:lineRule="exact"/>
        <w:ind w:firstLine="632"/>
        <w:outlineLvl w:val="0"/>
        <w:rPr>
          <w:rFonts w:ascii="黑体" w:hAnsi="黑体" w:eastAsia="黑体" w:cs="黑体"/>
          <w:spacing w:val="-2"/>
          <w:sz w:val="32"/>
          <w:szCs w:val="32"/>
          <w:highlight w:val="none"/>
        </w:rPr>
      </w:pPr>
      <w:bookmarkStart w:id="78" w:name="_Toc31610"/>
      <w:r>
        <w:rPr>
          <w:rFonts w:hint="eastAsia" w:ascii="黑体" w:hAnsi="黑体" w:eastAsia="黑体" w:cs="黑体"/>
          <w:spacing w:val="-2"/>
          <w:sz w:val="32"/>
          <w:szCs w:val="32"/>
          <w:highlight w:val="none"/>
          <w:lang w:val="en-US" w:eastAsia="zh-CN"/>
        </w:rPr>
        <w:t>六</w:t>
      </w:r>
      <w:r>
        <w:rPr>
          <w:rFonts w:hint="eastAsia" w:ascii="黑体" w:hAnsi="黑体" w:eastAsia="黑体" w:cs="黑体"/>
          <w:spacing w:val="-2"/>
          <w:sz w:val="32"/>
          <w:szCs w:val="32"/>
          <w:highlight w:val="none"/>
        </w:rPr>
        <w:t>、建议</w:t>
      </w:r>
      <w:bookmarkEnd w:id="78"/>
    </w:p>
    <w:p w14:paraId="29C804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default" w:ascii="楷体_GB2312" w:hAnsi="楷体_GB2312" w:eastAsia="楷体_GB2312" w:cs="楷体_GB2312"/>
          <w:b/>
          <w:bCs/>
          <w:sz w:val="32"/>
          <w:szCs w:val="32"/>
          <w:lang w:val="en-US" w:eastAsia="zh-CN"/>
        </w:rPr>
      </w:pPr>
      <w:bookmarkStart w:id="79" w:name="_Toc27057"/>
      <w:r>
        <w:rPr>
          <w:rFonts w:hint="eastAsia" w:ascii="楷体_GB2312" w:hAnsi="楷体_GB2312" w:eastAsia="楷体_GB2312" w:cs="楷体_GB2312"/>
          <w:b/>
          <w:bCs/>
          <w:sz w:val="32"/>
          <w:szCs w:val="32"/>
          <w:lang w:val="en-US" w:eastAsia="zh-CN"/>
        </w:rPr>
        <w:t>（一）合理设置项目的绩效指标</w:t>
      </w:r>
      <w:bookmarkEnd w:id="79"/>
    </w:p>
    <w:p w14:paraId="51DC6E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在财政预算管理过程中，为了确保财政预算资金项目的有效执行和评估，设置明确、具体、可衡量的绩效指标至关重要。绩效指标不仅反映了项目的预期成果和效益，还为项目的实施、监控和评估提供了明确的指导和依据。绩效指标也为项目的监督和评估提供了具体的量化依据，有助于及时发现问题、调整策略，确保项目的顺利实施和达成预期目标。</w:t>
      </w:r>
    </w:p>
    <w:p w14:paraId="3DBB26C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80" w:name="_Toc29795"/>
      <w:r>
        <w:rPr>
          <w:rFonts w:hint="eastAsia" w:ascii="楷体_GB2312" w:hAnsi="楷体_GB2312" w:eastAsia="楷体_GB2312" w:cs="楷体_GB2312"/>
          <w:b/>
          <w:bCs/>
          <w:sz w:val="32"/>
          <w:szCs w:val="32"/>
          <w:lang w:val="en-US" w:eastAsia="zh-CN"/>
        </w:rPr>
        <w:t>（二）合理分配自评表分值</w:t>
      </w:r>
      <w:bookmarkEnd w:id="80"/>
    </w:p>
    <w:p w14:paraId="3C516E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项目单位应合理分配自评表的分值，准确计算实际得分，通过准确的打分，政府部门和项目实施单位可以清晰地了解项目实际完成情况，量化工作成果，从而有针对性地制定实施计划和资金配置方案。</w:t>
      </w:r>
    </w:p>
    <w:p w14:paraId="07EF72A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eastAsia" w:ascii="楷体_GB2312" w:hAnsi="楷体_GB2312" w:eastAsia="楷体_GB2312" w:cs="楷体_GB2312"/>
          <w:b/>
          <w:bCs/>
          <w:sz w:val="32"/>
          <w:szCs w:val="32"/>
          <w:lang w:val="en-US" w:eastAsia="zh-CN"/>
        </w:rPr>
      </w:pPr>
      <w:bookmarkStart w:id="81" w:name="_Toc25401"/>
      <w:r>
        <w:rPr>
          <w:rFonts w:hint="eastAsia" w:ascii="楷体_GB2312" w:hAnsi="楷体_GB2312" w:eastAsia="楷体_GB2312" w:cs="楷体_GB2312"/>
          <w:b/>
          <w:bCs/>
          <w:sz w:val="32"/>
          <w:szCs w:val="32"/>
          <w:lang w:val="en-US" w:eastAsia="zh-CN"/>
        </w:rPr>
        <w:t>（三）按照部门制定的《采购管理制度》中的相关规定履行采购手续</w:t>
      </w:r>
      <w:bookmarkEnd w:id="81"/>
    </w:p>
    <w:p w14:paraId="3DD0746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1"/>
        <w:rPr>
          <w:rFonts w:hint="default" w:ascii="楷体_GB2312" w:hAnsi="楷体_GB2312" w:eastAsia="楷体_GB2312" w:cs="楷体_GB2312"/>
          <w:b/>
          <w:bCs/>
          <w:sz w:val="32"/>
          <w:szCs w:val="32"/>
          <w:lang w:val="en-US" w:eastAsia="zh-CN"/>
        </w:rPr>
      </w:pPr>
      <w:bookmarkStart w:id="82" w:name="_Toc32039"/>
      <w:r>
        <w:rPr>
          <w:rFonts w:hint="eastAsia" w:ascii="楷体_GB2312" w:hAnsi="楷体_GB2312" w:eastAsia="楷体_GB2312" w:cs="楷体_GB2312"/>
          <w:b/>
          <w:bCs/>
          <w:sz w:val="32"/>
          <w:szCs w:val="32"/>
          <w:lang w:val="en-US" w:eastAsia="zh-CN"/>
        </w:rPr>
        <w:t>（四）项目完成时及时组织验收</w:t>
      </w:r>
      <w:bookmarkEnd w:id="82"/>
    </w:p>
    <w:p w14:paraId="0BCADE1D">
      <w:pPr>
        <w:spacing w:line="600" w:lineRule="exact"/>
        <w:outlineLvl w:val="9"/>
        <w:rPr>
          <w:rFonts w:hint="eastAsia" w:ascii="仿宋" w:hAnsi="仿宋" w:eastAsia="仿宋" w:cs="仿宋"/>
          <w:sz w:val="32"/>
          <w:szCs w:val="32"/>
          <w:highlight w:val="none"/>
        </w:rPr>
      </w:pPr>
    </w:p>
    <w:p w14:paraId="4A25FE01">
      <w:pPr>
        <w:spacing w:line="600" w:lineRule="exact"/>
        <w:ind w:left="1598" w:hanging="960"/>
        <w:outlineLvl w:val="0"/>
        <w:rPr>
          <w:rFonts w:ascii="仿宋" w:hAnsi="仿宋" w:eastAsia="仿宋" w:cs="仿宋"/>
          <w:sz w:val="32"/>
          <w:szCs w:val="32"/>
          <w:highlight w:val="none"/>
        </w:rPr>
      </w:pPr>
      <w:bookmarkStart w:id="83" w:name="_Toc641"/>
      <w:r>
        <w:rPr>
          <w:rFonts w:hint="eastAsia" w:ascii="仿宋" w:hAnsi="仿宋" w:eastAsia="仿宋" w:cs="仿宋"/>
          <w:sz w:val="32"/>
          <w:szCs w:val="32"/>
          <w:highlight w:val="none"/>
        </w:rPr>
        <w:t>附</w:t>
      </w:r>
      <w:r>
        <w:rPr>
          <w:rFonts w:hint="eastAsia" w:ascii="仿宋" w:hAnsi="仿宋" w:eastAsia="仿宋" w:cs="仿宋"/>
          <w:sz w:val="32"/>
          <w:szCs w:val="32"/>
          <w:highlight w:val="none"/>
          <w:lang w:val="en-US" w:eastAsia="zh-CN"/>
        </w:rPr>
        <w:t>件</w:t>
      </w:r>
      <w:r>
        <w:rPr>
          <w:rFonts w:hint="eastAsia" w:ascii="仿宋" w:hAnsi="仿宋" w:eastAsia="仿宋" w:cs="仿宋"/>
          <w:sz w:val="32"/>
          <w:szCs w:val="32"/>
          <w:highlight w:val="none"/>
        </w:rPr>
        <w:t>1.项目绩效评价指标体系打分表</w:t>
      </w:r>
      <w:bookmarkEnd w:id="83"/>
    </w:p>
    <w:p w14:paraId="01CB4536">
      <w:pPr>
        <w:spacing w:line="600" w:lineRule="exact"/>
        <w:rPr>
          <w:rFonts w:ascii="仿宋" w:hAnsi="仿宋" w:eastAsia="仿宋" w:cs="仿宋"/>
          <w:sz w:val="32"/>
          <w:szCs w:val="32"/>
          <w:highlight w:val="none"/>
        </w:rPr>
      </w:pPr>
    </w:p>
    <w:bookmarkEnd w:id="61"/>
    <w:bookmarkEnd w:id="62"/>
    <w:bookmarkEnd w:id="63"/>
    <w:bookmarkEnd w:id="64"/>
    <w:bookmarkEnd w:id="65"/>
    <w:bookmarkEnd w:id="66"/>
    <w:bookmarkEnd w:id="67"/>
    <w:bookmarkEnd w:id="68"/>
    <w:p w14:paraId="79E82E38">
      <w:pPr>
        <w:spacing w:line="600" w:lineRule="exact"/>
        <w:ind w:left="197" w:firstLine="362"/>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扶风县财政局</w:t>
      </w:r>
    </w:p>
    <w:p w14:paraId="2AE33222">
      <w:pPr>
        <w:spacing w:line="600" w:lineRule="exact"/>
        <w:ind w:left="197" w:firstLine="362"/>
        <w:jc w:val="center"/>
        <w:rPr>
          <w:rFonts w:hint="eastAsia" w:ascii="仿宋" w:hAnsi="仿宋" w:eastAsia="仿宋" w:cs="仿宋"/>
          <w:sz w:val="32"/>
          <w:szCs w:val="32"/>
          <w:highlight w:val="none"/>
          <w:lang w:val="en-US" w:eastAsia="zh-CN"/>
        </w:rPr>
        <w:sectPr>
          <w:footerReference r:id="rId6" w:type="default"/>
          <w:pgSz w:w="11850" w:h="16783"/>
          <w:pgMar w:top="1440" w:right="1800" w:bottom="1440" w:left="1800" w:header="567" w:footer="992" w:gutter="0"/>
          <w:pgNumType w:fmt="decimal" w:start="1"/>
          <w:cols w:space="720" w:num="1"/>
          <w:docGrid w:linePitch="360" w:charSpace="0"/>
        </w:sectPr>
      </w:pPr>
      <w:r>
        <w:rPr>
          <w:rFonts w:hint="eastAsia" w:ascii="仿宋" w:hAnsi="仿宋" w:eastAsia="仿宋" w:cs="仿宋"/>
          <w:sz w:val="32"/>
          <w:szCs w:val="32"/>
          <w:highlight w:val="none"/>
        </w:rPr>
        <w:t>2024</w:t>
      </w:r>
      <w:r>
        <w:rPr>
          <w:rFonts w:hint="eastAsia" w:ascii="仿宋" w:hAnsi="仿宋" w:eastAsia="仿宋" w:cs="仿宋"/>
          <w:sz w:val="32"/>
          <w:szCs w:val="32"/>
          <w:highlight w:val="none"/>
          <w:lang w:val="en-US" w:eastAsia="zh-CN"/>
        </w:rPr>
        <w:t>年</w:t>
      </w:r>
      <w:r>
        <w:rPr>
          <w:rFonts w:hint="eastAsia" w:ascii="仿宋" w:hAnsi="仿宋" w:eastAsia="仿宋" w:cs="仿宋"/>
          <w:sz w:val="32"/>
          <w:szCs w:val="32"/>
          <w:highlight w:val="none"/>
        </w:rPr>
        <w:t>6</w:t>
      </w:r>
      <w:r>
        <w:rPr>
          <w:rFonts w:hint="eastAsia" w:ascii="仿宋" w:hAnsi="仿宋" w:eastAsia="仿宋" w:cs="仿宋"/>
          <w:sz w:val="32"/>
          <w:szCs w:val="32"/>
          <w:highlight w:val="none"/>
          <w:lang w:val="en-US" w:eastAsia="zh-CN"/>
        </w:rPr>
        <w:t>月</w:t>
      </w: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7日</w:t>
      </w:r>
    </w:p>
    <w:p w14:paraId="5BB494E8">
      <w:pPr>
        <w:spacing w:line="600" w:lineRule="exact"/>
        <w:jc w:val="left"/>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w:t>
      </w:r>
    </w:p>
    <w:p w14:paraId="2C6EF68D">
      <w:pPr>
        <w:jc w:val="center"/>
        <w:rPr>
          <w:rFonts w:hint="default" w:ascii="仿宋" w:hAnsi="仿宋" w:eastAsia="仿宋" w:cs="仿宋"/>
          <w:b/>
          <w:bCs/>
          <w:kern w:val="0"/>
          <w:sz w:val="40"/>
          <w:szCs w:val="40"/>
          <w:highlight w:val="none"/>
          <w:lang w:val="en-US" w:eastAsia="zh-CN"/>
        </w:rPr>
      </w:pPr>
      <w:r>
        <w:rPr>
          <w:rFonts w:hint="default" w:ascii="仿宋" w:hAnsi="仿宋" w:eastAsia="仿宋" w:cs="仿宋"/>
          <w:b/>
          <w:bCs/>
          <w:kern w:val="0"/>
          <w:sz w:val="40"/>
          <w:szCs w:val="40"/>
          <w:highlight w:val="none"/>
          <w:lang w:val="en-US" w:eastAsia="zh-CN"/>
        </w:rPr>
        <w:t>比亚迪汽车线束生产线项目卫生间工程补助款绩效评价指标体系打分表</w:t>
      </w:r>
    </w:p>
    <w:tbl>
      <w:tblPr>
        <w:tblStyle w:val="33"/>
        <w:tblW w:w="1388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660"/>
        <w:gridCol w:w="880"/>
        <w:gridCol w:w="660"/>
        <w:gridCol w:w="1320"/>
        <w:gridCol w:w="660"/>
        <w:gridCol w:w="660"/>
        <w:gridCol w:w="4837"/>
        <w:gridCol w:w="1163"/>
        <w:gridCol w:w="892"/>
        <w:gridCol w:w="1270"/>
      </w:tblGrid>
      <w:tr w14:paraId="2EB99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8F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一级指标</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73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二级指标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7D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B4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赋分值</w:t>
            </w:r>
          </w:p>
        </w:tc>
        <w:tc>
          <w:tcPr>
            <w:tcW w:w="4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E7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评分标准</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70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完成情况</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CE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得分</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94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一级指标得分</w:t>
            </w:r>
          </w:p>
        </w:tc>
      </w:tr>
      <w:tr w14:paraId="4449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4F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389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20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4E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AB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8F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04C0">
            <w:pPr>
              <w:jc w:val="center"/>
              <w:rPr>
                <w:rFonts w:hint="eastAsia" w:ascii="宋体" w:hAnsi="宋体" w:eastAsia="宋体" w:cs="宋体"/>
                <w:i w:val="0"/>
                <w:iCs w:val="0"/>
                <w:color w:val="000000"/>
                <w:sz w:val="22"/>
                <w:szCs w:val="22"/>
                <w:highlight w:val="none"/>
                <w:u w:val="none"/>
              </w:rPr>
            </w:pPr>
          </w:p>
        </w:tc>
        <w:tc>
          <w:tcPr>
            <w:tcW w:w="4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10D7">
            <w:pPr>
              <w:jc w:val="center"/>
              <w:rPr>
                <w:rFonts w:hint="eastAsia" w:ascii="宋体" w:hAnsi="宋体" w:eastAsia="宋体" w:cs="宋体"/>
                <w:i w:val="0"/>
                <w:iCs w:val="0"/>
                <w:color w:val="000000"/>
                <w:sz w:val="22"/>
                <w:szCs w:val="22"/>
                <w:highlight w:val="none"/>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FD56">
            <w:pPr>
              <w:jc w:val="center"/>
              <w:rPr>
                <w:rFonts w:hint="eastAsia" w:ascii="宋体" w:hAnsi="宋体" w:eastAsia="宋体" w:cs="宋体"/>
                <w:i w:val="0"/>
                <w:iCs w:val="0"/>
                <w:color w:val="000000"/>
                <w:sz w:val="22"/>
                <w:szCs w:val="22"/>
                <w:highlight w:val="none"/>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7736">
            <w:pPr>
              <w:jc w:val="center"/>
              <w:rPr>
                <w:rFonts w:hint="eastAsia" w:ascii="宋体" w:hAnsi="宋体" w:eastAsia="宋体" w:cs="宋体"/>
                <w:i w:val="0"/>
                <w:iCs w:val="0"/>
                <w:color w:val="000000"/>
                <w:sz w:val="22"/>
                <w:szCs w:val="22"/>
                <w:highlight w:val="none"/>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1672">
            <w:pPr>
              <w:jc w:val="center"/>
              <w:rPr>
                <w:rFonts w:hint="eastAsia" w:ascii="宋体" w:hAnsi="宋体" w:eastAsia="宋体" w:cs="宋体"/>
                <w:i w:val="0"/>
                <w:iCs w:val="0"/>
                <w:color w:val="000000"/>
                <w:sz w:val="22"/>
                <w:szCs w:val="22"/>
                <w:highlight w:val="none"/>
                <w:u w:val="none"/>
              </w:rPr>
            </w:pPr>
          </w:p>
        </w:tc>
      </w:tr>
      <w:tr w14:paraId="78C2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B88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决策指标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B5D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187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4D9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BE4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立项依据充分性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7CA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69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3AA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项目立项是否符合国家法律法规、国民经济发展规划和相关政策；每发现一项不完备的，扣25%分值，扣完为止。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78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1E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2E57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8</w:t>
            </w:r>
          </w:p>
        </w:tc>
      </w:tr>
      <w:tr w14:paraId="1D785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DFCBE">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9CC88">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2F5C7">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5C772">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61FC1">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EB76D">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3B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9AE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项目立项是否与部门职责范围相符，属于部门履职所需；每发现一项不完备的，扣25%分值，扣完为止。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44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1A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AA126">
            <w:pPr>
              <w:jc w:val="center"/>
              <w:rPr>
                <w:rFonts w:hint="eastAsia" w:ascii="宋体" w:hAnsi="宋体" w:eastAsia="宋体" w:cs="宋体"/>
                <w:i w:val="0"/>
                <w:iCs w:val="0"/>
                <w:color w:val="000000"/>
                <w:sz w:val="22"/>
                <w:szCs w:val="22"/>
                <w:highlight w:val="none"/>
                <w:u w:val="none"/>
              </w:rPr>
            </w:pPr>
          </w:p>
        </w:tc>
      </w:tr>
      <w:tr w14:paraId="1136A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0465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8582">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C1E9">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CF511">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938E7">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E13AF">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C6D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714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项目立项是否符合行业发展规划和政策要求；每发现一项不完备的，扣25%分值，扣完为止。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4E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68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5C905">
            <w:pPr>
              <w:jc w:val="center"/>
              <w:rPr>
                <w:rFonts w:hint="eastAsia" w:ascii="宋体" w:hAnsi="宋体" w:eastAsia="宋体" w:cs="宋体"/>
                <w:i w:val="0"/>
                <w:iCs w:val="0"/>
                <w:color w:val="000000"/>
                <w:sz w:val="22"/>
                <w:szCs w:val="22"/>
                <w:highlight w:val="none"/>
                <w:u w:val="none"/>
              </w:rPr>
            </w:pPr>
          </w:p>
        </w:tc>
      </w:tr>
      <w:tr w14:paraId="3B931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5"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2F51F">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D376">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6D300">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D0D6">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E62EC">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E7BD1">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E1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E32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项目是否属于公共财政支持范围，是否符合中央、地方事权支出责任划分原则；每发现一项不完备的，扣25%分值，扣完为止。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A3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B7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3672A">
            <w:pPr>
              <w:jc w:val="center"/>
              <w:rPr>
                <w:rFonts w:hint="eastAsia" w:ascii="宋体" w:hAnsi="宋体" w:eastAsia="宋体" w:cs="宋体"/>
                <w:i w:val="0"/>
                <w:iCs w:val="0"/>
                <w:color w:val="000000"/>
                <w:sz w:val="22"/>
                <w:szCs w:val="22"/>
                <w:highlight w:val="none"/>
                <w:u w:val="none"/>
              </w:rPr>
            </w:pPr>
          </w:p>
        </w:tc>
      </w:tr>
      <w:tr w14:paraId="3C6D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2E33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BE9A">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12ED4">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C4371">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271F1">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AC6E1">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A3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B29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项目是否未与相关部门同类项目或部门内部相关项目重复。每发现一项不完备的，扣25%分值，扣完为止。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14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11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B6178">
            <w:pPr>
              <w:jc w:val="center"/>
              <w:rPr>
                <w:rFonts w:hint="eastAsia" w:ascii="宋体" w:hAnsi="宋体" w:eastAsia="宋体" w:cs="宋体"/>
                <w:i w:val="0"/>
                <w:iCs w:val="0"/>
                <w:color w:val="000000"/>
                <w:sz w:val="22"/>
                <w:szCs w:val="22"/>
                <w:highlight w:val="none"/>
                <w:u w:val="none"/>
              </w:rPr>
            </w:pPr>
          </w:p>
        </w:tc>
      </w:tr>
      <w:tr w14:paraId="573ED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228D">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2D43E">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49478">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B5B80">
            <w:pPr>
              <w:jc w:val="center"/>
              <w:rPr>
                <w:rFonts w:hint="eastAsia" w:ascii="宋体" w:hAnsi="宋体" w:eastAsia="宋体" w:cs="宋体"/>
                <w:i w:val="0"/>
                <w:iCs w:val="0"/>
                <w:color w:val="000000"/>
                <w:sz w:val="22"/>
                <w:szCs w:val="22"/>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FA5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立项程序规范性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AABF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90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63E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项目是否按照规定的程序申请设立；每发现一项不完备的，扣25%分值，扣完为止。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E0D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99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4730E">
            <w:pPr>
              <w:jc w:val="center"/>
              <w:rPr>
                <w:rFonts w:hint="eastAsia" w:ascii="宋体" w:hAnsi="宋体" w:eastAsia="宋体" w:cs="宋体"/>
                <w:i w:val="0"/>
                <w:iCs w:val="0"/>
                <w:color w:val="000000"/>
                <w:sz w:val="22"/>
                <w:szCs w:val="22"/>
                <w:highlight w:val="none"/>
                <w:u w:val="none"/>
              </w:rPr>
            </w:pPr>
          </w:p>
        </w:tc>
      </w:tr>
      <w:tr w14:paraId="00E3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2C0F2">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06314">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D8844">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79A79">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7D46E">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52E9E">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AC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5D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审批文件、材料是否符合相关要求；每发现一项不完备的，扣25%分值，扣完为止。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69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B9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99CE6">
            <w:pPr>
              <w:jc w:val="center"/>
              <w:rPr>
                <w:rFonts w:hint="eastAsia" w:ascii="宋体" w:hAnsi="宋体" w:eastAsia="宋体" w:cs="宋体"/>
                <w:i w:val="0"/>
                <w:iCs w:val="0"/>
                <w:color w:val="000000"/>
                <w:sz w:val="22"/>
                <w:szCs w:val="22"/>
                <w:highlight w:val="none"/>
                <w:u w:val="none"/>
              </w:rPr>
            </w:pPr>
          </w:p>
        </w:tc>
      </w:tr>
      <w:tr w14:paraId="0239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97E0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69EA7">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7216D">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7747">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745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672F">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7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999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事前是否已经过必要的可行性研究、专家论证、风险评估、绩效评估、集体决策。每发现一项不完备的，扣25%分值，扣完为止。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E0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6E8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5DD72">
            <w:pPr>
              <w:jc w:val="center"/>
              <w:rPr>
                <w:rFonts w:hint="eastAsia" w:ascii="宋体" w:hAnsi="宋体" w:eastAsia="宋体" w:cs="宋体"/>
                <w:i w:val="0"/>
                <w:iCs w:val="0"/>
                <w:color w:val="000000"/>
                <w:sz w:val="22"/>
                <w:szCs w:val="22"/>
                <w:highlight w:val="none"/>
                <w:u w:val="none"/>
              </w:rPr>
            </w:pPr>
          </w:p>
        </w:tc>
      </w:tr>
      <w:tr w14:paraId="12391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A351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659B8">
            <w:pPr>
              <w:jc w:val="center"/>
              <w:rPr>
                <w:rFonts w:hint="eastAsia" w:ascii="宋体" w:hAnsi="宋体" w:eastAsia="宋体" w:cs="宋体"/>
                <w:i w:val="0"/>
                <w:iCs w:val="0"/>
                <w:color w:val="000000"/>
                <w:sz w:val="22"/>
                <w:szCs w:val="22"/>
                <w:highlight w:val="none"/>
                <w:u w:val="none"/>
              </w:rPr>
            </w:pP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E34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绩效目标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14F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7DC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绩效指标明确性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872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50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27F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是否将项目绩效目标细化分解为具体的绩效指标；每发现一项不完备的，扣25%分值，扣完为止。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E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ED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5B7F9">
            <w:pPr>
              <w:jc w:val="center"/>
              <w:rPr>
                <w:rFonts w:hint="eastAsia" w:ascii="宋体" w:hAnsi="宋体" w:eastAsia="宋体" w:cs="宋体"/>
                <w:i w:val="0"/>
                <w:iCs w:val="0"/>
                <w:color w:val="000000"/>
                <w:sz w:val="22"/>
                <w:szCs w:val="22"/>
                <w:highlight w:val="none"/>
                <w:u w:val="none"/>
              </w:rPr>
            </w:pPr>
          </w:p>
        </w:tc>
      </w:tr>
      <w:tr w14:paraId="4EF4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68C08">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C26D">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471F2">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75C9A">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77CFF">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5F50D">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C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0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是否通过清晰、可衡量的指标值予以体现；每发现一项不完备的，扣25%分值，扣完为止。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12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9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5390C">
            <w:pPr>
              <w:jc w:val="center"/>
              <w:rPr>
                <w:rFonts w:hint="eastAsia" w:ascii="宋体" w:hAnsi="宋体" w:eastAsia="宋体" w:cs="宋体"/>
                <w:i w:val="0"/>
                <w:iCs w:val="0"/>
                <w:color w:val="000000"/>
                <w:sz w:val="22"/>
                <w:szCs w:val="22"/>
                <w:highlight w:val="none"/>
                <w:u w:val="none"/>
              </w:rPr>
            </w:pPr>
          </w:p>
        </w:tc>
      </w:tr>
      <w:tr w14:paraId="70467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2FFC">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E04D6">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81711">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ADA8E">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16E97">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35A6">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60F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E08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是否与项目目标任务数或计划数相对应。每发现一项不完备的，扣25%分值，扣完为止。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86E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0C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4B626">
            <w:pPr>
              <w:jc w:val="center"/>
              <w:rPr>
                <w:rFonts w:hint="eastAsia" w:ascii="宋体" w:hAnsi="宋体" w:eastAsia="宋体" w:cs="宋体"/>
                <w:i w:val="0"/>
                <w:iCs w:val="0"/>
                <w:color w:val="000000"/>
                <w:sz w:val="22"/>
                <w:szCs w:val="22"/>
                <w:highlight w:val="none"/>
                <w:u w:val="none"/>
              </w:rPr>
            </w:pPr>
          </w:p>
        </w:tc>
      </w:tr>
      <w:tr w14:paraId="3CE9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5FB4">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398C">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514E">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F3147">
            <w:pPr>
              <w:jc w:val="center"/>
              <w:rPr>
                <w:rFonts w:hint="eastAsia" w:ascii="宋体" w:hAnsi="宋体" w:eastAsia="宋体" w:cs="宋体"/>
                <w:i w:val="0"/>
                <w:iCs w:val="0"/>
                <w:color w:val="000000"/>
                <w:sz w:val="22"/>
                <w:szCs w:val="22"/>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3524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绩效目标合理性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2F6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22F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9F08">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项目是否有绩效目标；每发现一项不完备的，扣25%分值，扣完为止。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51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5C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52453">
            <w:pPr>
              <w:jc w:val="center"/>
              <w:rPr>
                <w:rFonts w:hint="eastAsia" w:ascii="宋体" w:hAnsi="宋体" w:eastAsia="宋体" w:cs="宋体"/>
                <w:i w:val="0"/>
                <w:iCs w:val="0"/>
                <w:color w:val="000000"/>
                <w:sz w:val="22"/>
                <w:szCs w:val="22"/>
                <w:highlight w:val="none"/>
                <w:u w:val="none"/>
              </w:rPr>
            </w:pPr>
          </w:p>
        </w:tc>
      </w:tr>
      <w:tr w14:paraId="0546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08712">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2E97E">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41CDE">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D1835">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4DB93">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244CB">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E0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D95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项目绩效目标与实际工作内容是否具有相关性；每发现一项不完备的，扣25%分值，扣完为止。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D5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8A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C2747">
            <w:pPr>
              <w:jc w:val="center"/>
              <w:rPr>
                <w:rFonts w:hint="eastAsia" w:ascii="宋体" w:hAnsi="宋体" w:eastAsia="宋体" w:cs="宋体"/>
                <w:i w:val="0"/>
                <w:iCs w:val="0"/>
                <w:color w:val="000000"/>
                <w:sz w:val="22"/>
                <w:szCs w:val="22"/>
                <w:highlight w:val="none"/>
                <w:u w:val="none"/>
              </w:rPr>
            </w:pPr>
          </w:p>
        </w:tc>
      </w:tr>
      <w:tr w14:paraId="5734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05908">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12201">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F3C3D">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17CE2">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77143">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0D76F">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12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496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项目预期产出效益和效果是否符合正常的业绩水平；每发现一项不完备的，扣25%分值，扣完为止。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0B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8F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B157B">
            <w:pPr>
              <w:jc w:val="center"/>
              <w:rPr>
                <w:rFonts w:hint="eastAsia" w:ascii="宋体" w:hAnsi="宋体" w:eastAsia="宋体" w:cs="宋体"/>
                <w:i w:val="0"/>
                <w:iCs w:val="0"/>
                <w:color w:val="000000"/>
                <w:sz w:val="22"/>
                <w:szCs w:val="22"/>
                <w:highlight w:val="none"/>
                <w:u w:val="none"/>
              </w:rPr>
            </w:pPr>
          </w:p>
        </w:tc>
      </w:tr>
      <w:tr w14:paraId="7F235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C3508">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373C7">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5669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5B001">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FE91C">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91BAE">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D2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B8D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是否与预算确定的项目投资额或资金量相匹配。每发现一项不完备的，扣25%分值，扣完为止。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3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sz w:val="22"/>
                <w:szCs w:val="22"/>
                <w:highlight w:val="none"/>
                <w:u w:val="none"/>
                <w:lang w:val="en-US" w:eastAsia="zh-CN"/>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3212">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BC33D">
            <w:pPr>
              <w:jc w:val="center"/>
              <w:rPr>
                <w:rFonts w:hint="eastAsia" w:ascii="宋体" w:hAnsi="宋体" w:eastAsia="宋体" w:cs="宋体"/>
                <w:i w:val="0"/>
                <w:iCs w:val="0"/>
                <w:color w:val="000000"/>
                <w:sz w:val="22"/>
                <w:szCs w:val="22"/>
                <w:highlight w:val="none"/>
                <w:u w:val="none"/>
              </w:rPr>
            </w:pPr>
          </w:p>
        </w:tc>
      </w:tr>
      <w:tr w14:paraId="4670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A812C">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84278">
            <w:pPr>
              <w:jc w:val="center"/>
              <w:rPr>
                <w:rFonts w:hint="eastAsia" w:ascii="宋体" w:hAnsi="宋体" w:eastAsia="宋体" w:cs="宋体"/>
                <w:i w:val="0"/>
                <w:iCs w:val="0"/>
                <w:color w:val="000000"/>
                <w:sz w:val="22"/>
                <w:szCs w:val="22"/>
                <w:highlight w:val="none"/>
                <w:u w:val="none"/>
              </w:rPr>
            </w:pP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28B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资金投入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9F9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0A11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预算编制科学性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339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A2B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4B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预算编制是否经过科学论证；每发现一项不完备的，扣25%分值，扣完为止。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34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6E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2E1C8">
            <w:pPr>
              <w:jc w:val="center"/>
              <w:rPr>
                <w:rFonts w:hint="eastAsia" w:ascii="宋体" w:hAnsi="宋体" w:eastAsia="宋体" w:cs="宋体"/>
                <w:i w:val="0"/>
                <w:iCs w:val="0"/>
                <w:color w:val="000000"/>
                <w:sz w:val="22"/>
                <w:szCs w:val="22"/>
                <w:highlight w:val="none"/>
                <w:u w:val="none"/>
              </w:rPr>
            </w:pPr>
          </w:p>
        </w:tc>
      </w:tr>
      <w:tr w14:paraId="4296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DE54">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5752E">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74641">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4F0F5">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FAFD">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C31EF">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0B9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66E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预算内容与项目内容是否匹配；每发现一项不完备的，扣25%分值，扣完为止。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AA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CC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47E4">
            <w:pPr>
              <w:jc w:val="center"/>
              <w:rPr>
                <w:rFonts w:hint="eastAsia" w:ascii="宋体" w:hAnsi="宋体" w:eastAsia="宋体" w:cs="宋体"/>
                <w:i w:val="0"/>
                <w:iCs w:val="0"/>
                <w:color w:val="000000"/>
                <w:sz w:val="22"/>
                <w:szCs w:val="22"/>
                <w:highlight w:val="none"/>
                <w:u w:val="none"/>
              </w:rPr>
            </w:pPr>
          </w:p>
        </w:tc>
      </w:tr>
      <w:tr w14:paraId="595C2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F5A35">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209BA">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C8099">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42337">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D2404">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43BC">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3D5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49C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预算额度测算依据是否充分，是否按照标准编制；每发现一项不完备的，扣25%分值，扣完为止。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F26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4D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A8935">
            <w:pPr>
              <w:jc w:val="center"/>
              <w:rPr>
                <w:rFonts w:hint="eastAsia" w:ascii="宋体" w:hAnsi="宋体" w:eastAsia="宋体" w:cs="宋体"/>
                <w:i w:val="0"/>
                <w:iCs w:val="0"/>
                <w:color w:val="000000"/>
                <w:sz w:val="22"/>
                <w:szCs w:val="22"/>
                <w:highlight w:val="none"/>
                <w:u w:val="none"/>
              </w:rPr>
            </w:pPr>
          </w:p>
        </w:tc>
      </w:tr>
      <w:tr w14:paraId="0D7A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28DE9">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1CC16">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D88BA">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9488">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7E767">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25EE3">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0A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887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预算确定的项目投资额或资金量是否与工作任务相匹配。每发现一项不完备的，扣25%分值，扣完为止。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6AE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5B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25D4F">
            <w:pPr>
              <w:jc w:val="center"/>
              <w:rPr>
                <w:rFonts w:hint="eastAsia" w:ascii="宋体" w:hAnsi="宋体" w:eastAsia="宋体" w:cs="宋体"/>
                <w:i w:val="0"/>
                <w:iCs w:val="0"/>
                <w:color w:val="000000"/>
                <w:sz w:val="22"/>
                <w:szCs w:val="22"/>
                <w:highlight w:val="none"/>
                <w:u w:val="none"/>
              </w:rPr>
            </w:pPr>
          </w:p>
        </w:tc>
      </w:tr>
      <w:tr w14:paraId="4E78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F14A3">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5AAB5">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1A954">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28ABD">
            <w:pPr>
              <w:jc w:val="center"/>
              <w:rPr>
                <w:rFonts w:hint="eastAsia" w:ascii="宋体" w:hAnsi="宋体" w:eastAsia="宋体" w:cs="宋体"/>
                <w:i w:val="0"/>
                <w:iCs w:val="0"/>
                <w:color w:val="000000"/>
                <w:sz w:val="22"/>
                <w:szCs w:val="22"/>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DAD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资金分配合理性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CF8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42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F92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预算资金分配依据是否充分；每发现一项不完备的，扣25%分值，扣完为止。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A3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0DC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8B928">
            <w:pPr>
              <w:jc w:val="center"/>
              <w:rPr>
                <w:rFonts w:hint="eastAsia" w:ascii="宋体" w:hAnsi="宋体" w:eastAsia="宋体" w:cs="宋体"/>
                <w:i w:val="0"/>
                <w:iCs w:val="0"/>
                <w:color w:val="000000"/>
                <w:sz w:val="22"/>
                <w:szCs w:val="22"/>
                <w:highlight w:val="none"/>
                <w:u w:val="none"/>
              </w:rPr>
            </w:pPr>
          </w:p>
        </w:tc>
      </w:tr>
      <w:tr w14:paraId="46210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0BFE">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23129">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0FB3C">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BA990">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ED2ED">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A1AB9">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D3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EB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资金分配额度是否合理，与项目单位或地方实际是否相适应。每发现一项不完备的，扣25%分值，扣完为止。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CF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75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1DCC6">
            <w:pPr>
              <w:jc w:val="center"/>
              <w:rPr>
                <w:rFonts w:hint="eastAsia" w:ascii="宋体" w:hAnsi="宋体" w:eastAsia="宋体" w:cs="宋体"/>
                <w:i w:val="0"/>
                <w:iCs w:val="0"/>
                <w:color w:val="000000"/>
                <w:sz w:val="22"/>
                <w:szCs w:val="22"/>
                <w:highlight w:val="none"/>
                <w:u w:val="none"/>
              </w:rPr>
            </w:pPr>
          </w:p>
        </w:tc>
      </w:tr>
      <w:tr w14:paraId="2AFE9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A48F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过程指标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C67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41D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资金管理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A50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A08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资金到位率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685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9E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C38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资金到位率=（实际到位资金/预算资金）×100%（指标值-（60%））/（（100%）-（60%））× 赋分值。</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2D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3A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AE3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r>
              <w:rPr>
                <w:rFonts w:hint="eastAsia" w:ascii="宋体" w:hAnsi="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.5</w:t>
            </w:r>
          </w:p>
        </w:tc>
      </w:tr>
      <w:tr w14:paraId="44AD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73187">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CED45">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EC0D8">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9FB67">
            <w:pPr>
              <w:jc w:val="center"/>
              <w:rPr>
                <w:rFonts w:hint="eastAsia" w:ascii="宋体" w:hAnsi="宋体" w:eastAsia="宋体" w:cs="宋体"/>
                <w:i w:val="0"/>
                <w:iCs w:val="0"/>
                <w:color w:val="000000"/>
                <w:sz w:val="22"/>
                <w:szCs w:val="22"/>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21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9B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CAF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59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C6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2BF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020E5">
            <w:pPr>
              <w:jc w:val="center"/>
              <w:rPr>
                <w:rFonts w:hint="eastAsia" w:ascii="宋体" w:hAnsi="宋体" w:eastAsia="宋体" w:cs="宋体"/>
                <w:i w:val="0"/>
                <w:iCs w:val="0"/>
                <w:color w:val="000000"/>
                <w:sz w:val="22"/>
                <w:szCs w:val="22"/>
                <w:highlight w:val="none"/>
                <w:u w:val="none"/>
              </w:rPr>
            </w:pPr>
          </w:p>
        </w:tc>
      </w:tr>
      <w:tr w14:paraId="0812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8DFCC">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06C19">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7B7E6">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ED55A">
            <w:pPr>
              <w:jc w:val="center"/>
              <w:rPr>
                <w:rFonts w:hint="eastAsia" w:ascii="宋体" w:hAnsi="宋体" w:eastAsia="宋体" w:cs="宋体"/>
                <w:i w:val="0"/>
                <w:iCs w:val="0"/>
                <w:color w:val="000000"/>
                <w:sz w:val="22"/>
                <w:szCs w:val="22"/>
                <w:highlight w:val="none"/>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621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资金使用合规性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655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5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389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是否符合国家财经法规和财务管理制度以及有关专项资金管理办法的规定；每发现一项不完备的，扣25%分值，扣完为止。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8F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C8D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429BF">
            <w:pPr>
              <w:jc w:val="center"/>
              <w:rPr>
                <w:rFonts w:hint="eastAsia" w:ascii="宋体" w:hAnsi="宋体" w:eastAsia="宋体" w:cs="宋体"/>
                <w:i w:val="0"/>
                <w:iCs w:val="0"/>
                <w:color w:val="000000"/>
                <w:sz w:val="22"/>
                <w:szCs w:val="22"/>
                <w:highlight w:val="none"/>
                <w:u w:val="none"/>
              </w:rPr>
            </w:pPr>
          </w:p>
        </w:tc>
      </w:tr>
      <w:tr w14:paraId="2121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5334D">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993AE">
            <w:pPr>
              <w:jc w:val="center"/>
              <w:rPr>
                <w:rFonts w:hint="eastAsia" w:ascii="宋体" w:hAnsi="宋体" w:eastAsia="宋体" w:cs="宋体"/>
                <w:i w:val="0"/>
                <w:iCs w:val="0"/>
                <w:color w:val="000000"/>
                <w:sz w:val="22"/>
                <w:szCs w:val="22"/>
                <w:highlight w:val="none"/>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80C62">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39B13">
            <w:pPr>
              <w:jc w:val="center"/>
              <w:rPr>
                <w:rFonts w:hint="eastAsia" w:ascii="宋体" w:hAnsi="宋体" w:eastAsia="宋体" w:cs="宋体"/>
                <w:i w:val="0"/>
                <w:iCs w:val="0"/>
                <w:color w:val="000000"/>
                <w:sz w:val="22"/>
                <w:szCs w:val="22"/>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9393">
            <w:pPr>
              <w:jc w:val="center"/>
              <w:rPr>
                <w:rFonts w:hint="eastAsia" w:ascii="宋体" w:hAnsi="宋体" w:eastAsia="宋体" w:cs="宋体"/>
                <w:i w:val="0"/>
                <w:iCs w:val="0"/>
                <w:color w:val="000000"/>
                <w:sz w:val="22"/>
                <w:szCs w:val="22"/>
                <w:highlight w:val="none"/>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4BDE9">
            <w:pPr>
              <w:jc w:val="center"/>
              <w:rPr>
                <w:rFonts w:hint="eastAsia" w:ascii="宋体" w:hAnsi="宋体" w:eastAsia="宋体" w:cs="宋体"/>
                <w:i w:val="0"/>
                <w:iCs w:val="0"/>
                <w:color w:val="000000"/>
                <w:sz w:val="22"/>
                <w:szCs w:val="22"/>
                <w:highlight w:val="none"/>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17C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24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资金的拨付是否有完整的审批程序和手续。每发现一项不完备的，扣25%分值，扣完为止。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B6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918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11D6B">
            <w:pPr>
              <w:jc w:val="center"/>
              <w:rPr>
                <w:rFonts w:hint="eastAsia" w:ascii="宋体" w:hAnsi="宋体" w:eastAsia="宋体" w:cs="宋体"/>
                <w:i w:val="0"/>
                <w:iCs w:val="0"/>
                <w:color w:val="000000"/>
                <w:sz w:val="22"/>
                <w:szCs w:val="22"/>
                <w:highlight w:val="none"/>
                <w:u w:val="none"/>
              </w:rPr>
            </w:pPr>
          </w:p>
        </w:tc>
      </w:tr>
      <w:tr w14:paraId="3173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0F72">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A7F9B">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5C81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0715F">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688F">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68B5">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4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C8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6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A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6B4F5">
            <w:pPr>
              <w:jc w:val="center"/>
              <w:rPr>
                <w:rFonts w:hint="eastAsia" w:ascii="宋体" w:hAnsi="宋体" w:eastAsia="宋体" w:cs="宋体"/>
                <w:i w:val="0"/>
                <w:iCs w:val="0"/>
                <w:color w:val="000000"/>
                <w:sz w:val="22"/>
                <w:szCs w:val="22"/>
                <w:u w:val="none"/>
              </w:rPr>
            </w:pPr>
          </w:p>
        </w:tc>
      </w:tr>
      <w:tr w14:paraId="6355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89D67">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2F202">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0019E">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D4560">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1CF3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C472A">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8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F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0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D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2432A">
            <w:pPr>
              <w:jc w:val="center"/>
              <w:rPr>
                <w:rFonts w:hint="eastAsia" w:ascii="宋体" w:hAnsi="宋体" w:eastAsia="宋体" w:cs="宋体"/>
                <w:i w:val="0"/>
                <w:iCs w:val="0"/>
                <w:color w:val="000000"/>
                <w:sz w:val="22"/>
                <w:szCs w:val="22"/>
                <w:u w:val="none"/>
              </w:rPr>
            </w:pPr>
          </w:p>
        </w:tc>
      </w:tr>
      <w:tr w14:paraId="5A89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34737">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BB407">
            <w:pPr>
              <w:jc w:val="center"/>
              <w:rPr>
                <w:rFonts w:hint="eastAsia" w:ascii="宋体" w:hAnsi="宋体" w:eastAsia="宋体" w:cs="宋体"/>
                <w:i w:val="0"/>
                <w:iCs w:val="0"/>
                <w:color w:val="000000"/>
                <w:sz w:val="22"/>
                <w:szCs w:val="22"/>
                <w:u w:val="none"/>
              </w:rPr>
            </w:pP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24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9F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FF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C0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3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E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E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D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BBA2E">
            <w:pPr>
              <w:jc w:val="center"/>
              <w:rPr>
                <w:rFonts w:hint="eastAsia" w:ascii="宋体" w:hAnsi="宋体" w:eastAsia="宋体" w:cs="宋体"/>
                <w:i w:val="0"/>
                <w:iCs w:val="0"/>
                <w:color w:val="000000"/>
                <w:sz w:val="22"/>
                <w:szCs w:val="22"/>
                <w:u w:val="none"/>
              </w:rPr>
            </w:pPr>
          </w:p>
        </w:tc>
      </w:tr>
      <w:tr w14:paraId="216F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AE179">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64E72">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01F3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594FD">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B336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1534D">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D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E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D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9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F077">
            <w:pPr>
              <w:jc w:val="center"/>
              <w:rPr>
                <w:rFonts w:hint="eastAsia" w:ascii="宋体" w:hAnsi="宋体" w:eastAsia="宋体" w:cs="宋体"/>
                <w:i w:val="0"/>
                <w:iCs w:val="0"/>
                <w:color w:val="000000"/>
                <w:sz w:val="22"/>
                <w:szCs w:val="22"/>
                <w:u w:val="none"/>
              </w:rPr>
            </w:pPr>
          </w:p>
        </w:tc>
      </w:tr>
      <w:tr w14:paraId="6DE2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A333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B3A69">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64AB">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F9F2">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8B544">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FCCD8">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8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7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0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D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BB98">
            <w:pPr>
              <w:jc w:val="center"/>
              <w:rPr>
                <w:rFonts w:hint="eastAsia" w:ascii="宋体" w:hAnsi="宋体" w:eastAsia="宋体" w:cs="宋体"/>
                <w:i w:val="0"/>
                <w:iCs w:val="0"/>
                <w:color w:val="000000"/>
                <w:sz w:val="22"/>
                <w:szCs w:val="22"/>
                <w:u w:val="none"/>
              </w:rPr>
            </w:pPr>
          </w:p>
        </w:tc>
      </w:tr>
      <w:tr w14:paraId="09C14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FAC5E">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DD0AA">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ABF8E">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64532">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09F7">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A0511">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DF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7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1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3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01904">
            <w:pPr>
              <w:jc w:val="center"/>
              <w:rPr>
                <w:rFonts w:hint="eastAsia" w:ascii="宋体" w:hAnsi="宋体" w:eastAsia="宋体" w:cs="宋体"/>
                <w:i w:val="0"/>
                <w:iCs w:val="0"/>
                <w:color w:val="000000"/>
                <w:sz w:val="22"/>
                <w:szCs w:val="22"/>
                <w:u w:val="none"/>
              </w:rPr>
            </w:pPr>
          </w:p>
        </w:tc>
      </w:tr>
      <w:tr w14:paraId="243F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F5BD0">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7E8D">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33202">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1E18D">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0932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B93C8">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2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9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7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D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DC292">
            <w:pPr>
              <w:jc w:val="center"/>
              <w:rPr>
                <w:rFonts w:hint="eastAsia" w:ascii="宋体" w:hAnsi="宋体" w:eastAsia="宋体" w:cs="宋体"/>
                <w:i w:val="0"/>
                <w:iCs w:val="0"/>
                <w:color w:val="000000"/>
                <w:sz w:val="22"/>
                <w:szCs w:val="22"/>
                <w:u w:val="none"/>
              </w:rPr>
            </w:pPr>
          </w:p>
        </w:tc>
      </w:tr>
      <w:tr w14:paraId="4F60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F23E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F60DC">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56EA">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92F55">
            <w:pPr>
              <w:jc w:val="center"/>
              <w:rPr>
                <w:rFonts w:hint="eastAsia" w:ascii="宋体" w:hAnsi="宋体" w:eastAsia="宋体" w:cs="宋体"/>
                <w:i w:val="0"/>
                <w:iCs w:val="0"/>
                <w:color w:val="000000"/>
                <w:sz w:val="22"/>
                <w:szCs w:val="22"/>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E5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BD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7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3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3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E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82168">
            <w:pPr>
              <w:jc w:val="center"/>
              <w:rPr>
                <w:rFonts w:hint="eastAsia" w:ascii="宋体" w:hAnsi="宋体" w:eastAsia="宋体" w:cs="宋体"/>
                <w:i w:val="0"/>
                <w:iCs w:val="0"/>
                <w:color w:val="000000"/>
                <w:sz w:val="22"/>
                <w:szCs w:val="22"/>
                <w:u w:val="none"/>
              </w:rPr>
            </w:pPr>
          </w:p>
        </w:tc>
      </w:tr>
      <w:tr w14:paraId="7379B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1C77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EE2D">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ED0B7">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8DB63">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B7A6">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69D7">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C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3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A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否</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2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779C9">
            <w:pPr>
              <w:jc w:val="center"/>
              <w:rPr>
                <w:rFonts w:hint="eastAsia" w:ascii="宋体" w:hAnsi="宋体" w:eastAsia="宋体" w:cs="宋体"/>
                <w:i w:val="0"/>
                <w:iCs w:val="0"/>
                <w:color w:val="000000"/>
                <w:sz w:val="22"/>
                <w:szCs w:val="22"/>
                <w:u w:val="none"/>
              </w:rPr>
            </w:pPr>
          </w:p>
        </w:tc>
      </w:tr>
      <w:tr w14:paraId="396C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88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1B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8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F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E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比亚迪汽车线束生产线项目卫生间工程补助实际完成率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0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2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8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标准化厂房增设卫生间工程，实际完成率：按照{已完成工作进度}/{计划工作进度}*100%得出指标值，按照（指标值-（60%））/（（100%）-（60%））× 赋分值得分。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9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71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DDB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27</w:t>
            </w:r>
          </w:p>
        </w:tc>
      </w:tr>
      <w:tr w14:paraId="2E94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BD8B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A4AF0">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6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7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比亚迪汽车线束生产线项目卫生间工程补助质量合格率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3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3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10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标准化厂房增设卫生间工程，验收合格率：按照{经费项目质量达标项目数}/1*100%得出指标值，按照（指标值-（60%））/（（100%）-（60%））× 赋分值得分。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A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E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EC360">
            <w:pPr>
              <w:jc w:val="center"/>
              <w:rPr>
                <w:rFonts w:hint="eastAsia" w:ascii="宋体" w:hAnsi="宋体" w:eastAsia="宋体" w:cs="宋体"/>
                <w:i w:val="0"/>
                <w:iCs w:val="0"/>
                <w:color w:val="000000"/>
                <w:sz w:val="22"/>
                <w:szCs w:val="22"/>
                <w:u w:val="none"/>
              </w:rPr>
            </w:pPr>
          </w:p>
        </w:tc>
      </w:tr>
      <w:tr w14:paraId="32DC3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31B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EB6CA">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4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FA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C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比亚迪汽车线束生产线项目卫生间工程补助完成及时率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0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A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4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标准化厂房增设卫生间工程，完成及时率：按照{已完成工作进度}/{计划工作进度}*100%得出指标值，按照（指标值-（60%））/（（100%）-（60%））× 赋分值得分。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4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3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F8285">
            <w:pPr>
              <w:jc w:val="center"/>
              <w:rPr>
                <w:rFonts w:hint="eastAsia" w:ascii="宋体" w:hAnsi="宋体" w:eastAsia="宋体" w:cs="宋体"/>
                <w:i w:val="0"/>
                <w:iCs w:val="0"/>
                <w:color w:val="000000"/>
                <w:sz w:val="22"/>
                <w:szCs w:val="22"/>
                <w:u w:val="none"/>
              </w:rPr>
            </w:pPr>
          </w:p>
        </w:tc>
      </w:tr>
      <w:tr w14:paraId="6F36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5097">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61CDB">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B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1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E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比亚迪汽车线束生产线项目卫生间工程补助成本节约率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B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9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93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标准化厂房增设卫生间工程，成本节约率：按照({经费项目计划支出}-{经费项目预计支出})/{经费项目计划支出}*100%得出指标值，按照（指标值-（-10%））/（（0%）-（-10%））× 赋分值得分。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A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5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D87A0">
            <w:pPr>
              <w:jc w:val="center"/>
              <w:rPr>
                <w:rFonts w:hint="eastAsia" w:ascii="宋体" w:hAnsi="宋体" w:eastAsia="宋体" w:cs="宋体"/>
                <w:i w:val="0"/>
                <w:iCs w:val="0"/>
                <w:color w:val="000000"/>
                <w:sz w:val="22"/>
                <w:szCs w:val="22"/>
                <w:u w:val="none"/>
              </w:rPr>
            </w:pPr>
          </w:p>
        </w:tc>
      </w:tr>
      <w:tr w14:paraId="4FC4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271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8A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10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C4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7B5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改善工作环境，保障公共卫生，提升企业形象</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1B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4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5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改善工作环境：按照*&lt;计算公式&gt;*得出指标值，按照*&lt;得分公式&gt;*得分。达成目标得100%分，基本达成目标得75%分，部分实现目标得50%分，实现程度较低得25%分，实现程度低得0%分。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5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0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27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2F60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77B6E">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1E6F">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299BE">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D2EDA">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1F4B">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FC55">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86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71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保障公共卫生：按照*&lt;计算公式&gt;*得出指标值，按照*&lt;得分公式&gt;*得分。达成目标得100%分，基本达成目标得75%分，部分实现目标得50%分，实现程度较低得25%分，实现程度低得0%分。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8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9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DB07F">
            <w:pPr>
              <w:jc w:val="center"/>
              <w:rPr>
                <w:rFonts w:hint="eastAsia" w:ascii="宋体" w:hAnsi="宋体" w:eastAsia="宋体" w:cs="宋体"/>
                <w:i w:val="0"/>
                <w:iCs w:val="0"/>
                <w:color w:val="000000"/>
                <w:sz w:val="22"/>
                <w:szCs w:val="22"/>
                <w:u w:val="none"/>
              </w:rPr>
            </w:pPr>
          </w:p>
        </w:tc>
      </w:tr>
      <w:tr w14:paraId="3BF67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120F">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77EA7">
            <w:pPr>
              <w:jc w:val="center"/>
              <w:rPr>
                <w:rFonts w:hint="eastAsia" w:ascii="宋体" w:hAnsi="宋体" w:eastAsia="宋体" w:cs="宋体"/>
                <w:i w:val="0"/>
                <w:iCs w:val="0"/>
                <w:color w:val="000000"/>
                <w:sz w:val="22"/>
                <w:szCs w:val="22"/>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BBCE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554C5">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3B97A">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FDB5E">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3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提升企业形象：按照*&lt;计算公式&gt;*得出指标值，按照*&lt;得分公式&gt;*得分。达成目标得100%分，基本达成目标得75%分，部分实现目标得50%分，实现程度较低得25%分，实现程度低得0%分。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B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A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F2072">
            <w:pPr>
              <w:jc w:val="center"/>
              <w:rPr>
                <w:rFonts w:hint="eastAsia" w:ascii="宋体" w:hAnsi="宋体" w:eastAsia="宋体" w:cs="宋体"/>
                <w:i w:val="0"/>
                <w:iCs w:val="0"/>
                <w:color w:val="000000"/>
                <w:sz w:val="22"/>
                <w:szCs w:val="22"/>
                <w:u w:val="none"/>
              </w:rPr>
            </w:pPr>
          </w:p>
        </w:tc>
      </w:tr>
      <w:tr w14:paraId="390D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BE2C5">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BAECA">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8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4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C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企业员工满意度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E8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B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0D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企业员工满意度：按照*&lt;计算公式&gt;*得出指标值，按照*&lt;得分公式&gt;*得分。满意得100%分，较满意得80%分，基本满意得60%分，较不满意得30%分，不满意得0%分。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5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2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7B5A1">
            <w:pPr>
              <w:jc w:val="center"/>
              <w:rPr>
                <w:rFonts w:hint="eastAsia" w:ascii="宋体" w:hAnsi="宋体" w:eastAsia="宋体" w:cs="宋体"/>
                <w:i w:val="0"/>
                <w:iCs w:val="0"/>
                <w:color w:val="000000"/>
                <w:sz w:val="22"/>
                <w:szCs w:val="22"/>
                <w:u w:val="none"/>
              </w:rPr>
            </w:pPr>
          </w:p>
        </w:tc>
      </w:tr>
      <w:tr w14:paraId="3D7C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8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6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0848">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2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76C3">
            <w:pP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D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C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AAEE">
            <w:pPr>
              <w:rPr>
                <w:rFonts w:hint="eastAsia" w:ascii="宋体" w:hAnsi="宋体" w:eastAsia="宋体" w:cs="宋体"/>
                <w:i w:val="0"/>
                <w:iCs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8E09">
            <w:pPr>
              <w:rPr>
                <w:rFonts w:hint="eastAsia" w:ascii="宋体" w:hAnsi="宋体" w:eastAsia="宋体" w:cs="宋体"/>
                <w:i w:val="0"/>
                <w:iCs w:val="0"/>
                <w:color w:val="000000"/>
                <w:sz w:val="22"/>
                <w:szCs w:val="22"/>
                <w:u w:val="none"/>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5D8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82.5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90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82.5</w:t>
            </w:r>
          </w:p>
        </w:tc>
      </w:tr>
    </w:tbl>
    <w:p w14:paraId="6334BB0F">
      <w:pPr>
        <w:jc w:val="center"/>
        <w:rPr>
          <w:rFonts w:hint="default" w:ascii="仿宋" w:hAnsi="仿宋" w:eastAsia="仿宋" w:cs="仿宋"/>
          <w:b/>
          <w:bCs/>
          <w:kern w:val="0"/>
          <w:sz w:val="40"/>
          <w:szCs w:val="40"/>
          <w:lang w:val="en-US" w:eastAsia="zh-CN"/>
        </w:rPr>
      </w:pPr>
    </w:p>
    <w:p w14:paraId="0E84B211">
      <w:pPr>
        <w:jc w:val="center"/>
        <w:outlineLvl w:val="0"/>
        <w:rPr>
          <w:rFonts w:ascii="楷体" w:hAnsi="楷体" w:eastAsia="楷体" w:cs="楷体"/>
          <w:b/>
          <w:bCs/>
          <w:sz w:val="36"/>
          <w:szCs w:val="36"/>
        </w:rPr>
      </w:pPr>
    </w:p>
    <w:p w14:paraId="4213DAD2">
      <w:pPr>
        <w:spacing w:line="600" w:lineRule="exact"/>
        <w:jc w:val="left"/>
        <w:rPr>
          <w:rFonts w:hint="eastAsia" w:ascii="仿宋" w:hAnsi="仿宋" w:eastAsia="仿宋" w:cs="仿宋"/>
          <w:sz w:val="32"/>
          <w:szCs w:val="32"/>
          <w:lang w:val="en-US" w:eastAsia="zh-CN"/>
        </w:rPr>
      </w:pPr>
    </w:p>
    <w:sectPr>
      <w:pgSz w:w="16783" w:h="11850" w:orient="landscape"/>
      <w:pgMar w:top="1800" w:right="1440" w:bottom="1800" w:left="1440" w:header="567"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60101010101"/>
    <w:charset w:val="86"/>
    <w:family w:val="auto"/>
    <w:pitch w:val="default"/>
    <w:sig w:usb0="00000000" w:usb1="00000000"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189A">
    <w:pPr>
      <w:pStyle w:val="20"/>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D2EF">
    <w:pPr>
      <w:pStyle w:val="20"/>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F6B31">
    <w:pPr>
      <w:pStyle w:val="20"/>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AA39">
    <w:pPr>
      <w:pStyle w:val="20"/>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DE235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DE235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21146ED"/>
    <w:rsid w:val="02AB5AF9"/>
    <w:rsid w:val="0341020B"/>
    <w:rsid w:val="05A056BD"/>
    <w:rsid w:val="0A7772BA"/>
    <w:rsid w:val="0A870BFA"/>
    <w:rsid w:val="0C264442"/>
    <w:rsid w:val="12C10A21"/>
    <w:rsid w:val="1319085D"/>
    <w:rsid w:val="16816E45"/>
    <w:rsid w:val="169F72CB"/>
    <w:rsid w:val="17300CC1"/>
    <w:rsid w:val="17322D5B"/>
    <w:rsid w:val="19F8741E"/>
    <w:rsid w:val="1AAE2C66"/>
    <w:rsid w:val="1AF8344E"/>
    <w:rsid w:val="1B1738D4"/>
    <w:rsid w:val="1B6F54BE"/>
    <w:rsid w:val="1BCD6688"/>
    <w:rsid w:val="1BF43C15"/>
    <w:rsid w:val="1E0740D4"/>
    <w:rsid w:val="202F16C0"/>
    <w:rsid w:val="20344F28"/>
    <w:rsid w:val="21303941"/>
    <w:rsid w:val="21494A03"/>
    <w:rsid w:val="264A7253"/>
    <w:rsid w:val="290D27BA"/>
    <w:rsid w:val="2D0B7011"/>
    <w:rsid w:val="2E254102"/>
    <w:rsid w:val="2E3A5DFF"/>
    <w:rsid w:val="2F9037FD"/>
    <w:rsid w:val="30FD7C5D"/>
    <w:rsid w:val="329A50BF"/>
    <w:rsid w:val="330E33B7"/>
    <w:rsid w:val="333F7A14"/>
    <w:rsid w:val="35E548A3"/>
    <w:rsid w:val="37C8622A"/>
    <w:rsid w:val="38514471"/>
    <w:rsid w:val="38A327F3"/>
    <w:rsid w:val="39421025"/>
    <w:rsid w:val="39A71E6F"/>
    <w:rsid w:val="3C616C4D"/>
    <w:rsid w:val="3C736025"/>
    <w:rsid w:val="3F2C52F0"/>
    <w:rsid w:val="4001677D"/>
    <w:rsid w:val="410F4ECA"/>
    <w:rsid w:val="41391F47"/>
    <w:rsid w:val="42905B96"/>
    <w:rsid w:val="48904B42"/>
    <w:rsid w:val="495A5150"/>
    <w:rsid w:val="4A69564B"/>
    <w:rsid w:val="4B6E0A3F"/>
    <w:rsid w:val="4BFE0015"/>
    <w:rsid w:val="4C0849EF"/>
    <w:rsid w:val="4C9269AF"/>
    <w:rsid w:val="4EB470B0"/>
    <w:rsid w:val="4F375C04"/>
    <w:rsid w:val="50C57353"/>
    <w:rsid w:val="523E4376"/>
    <w:rsid w:val="532F593B"/>
    <w:rsid w:val="535B5D4C"/>
    <w:rsid w:val="53A771E4"/>
    <w:rsid w:val="54212AF2"/>
    <w:rsid w:val="543F741C"/>
    <w:rsid w:val="55AA2FBB"/>
    <w:rsid w:val="565A1DA5"/>
    <w:rsid w:val="57713D91"/>
    <w:rsid w:val="57D305A7"/>
    <w:rsid w:val="58FE1654"/>
    <w:rsid w:val="595E0345"/>
    <w:rsid w:val="5B4517BC"/>
    <w:rsid w:val="5C653798"/>
    <w:rsid w:val="5EE65064"/>
    <w:rsid w:val="614D13CA"/>
    <w:rsid w:val="63554566"/>
    <w:rsid w:val="66B617C0"/>
    <w:rsid w:val="6773145F"/>
    <w:rsid w:val="68664B20"/>
    <w:rsid w:val="6AB46016"/>
    <w:rsid w:val="6DCC18C9"/>
    <w:rsid w:val="6DDF784E"/>
    <w:rsid w:val="6E810905"/>
    <w:rsid w:val="712B2DAA"/>
    <w:rsid w:val="71DB20DB"/>
    <w:rsid w:val="73816CB2"/>
    <w:rsid w:val="73B47087"/>
    <w:rsid w:val="75157FF9"/>
    <w:rsid w:val="76766876"/>
    <w:rsid w:val="77334767"/>
    <w:rsid w:val="781C344D"/>
    <w:rsid w:val="790F6B0E"/>
    <w:rsid w:val="795F7A95"/>
    <w:rsid w:val="797C23F5"/>
    <w:rsid w:val="79F24465"/>
    <w:rsid w:val="79F521A7"/>
    <w:rsid w:val="79FE72AE"/>
    <w:rsid w:val="7AFD7566"/>
    <w:rsid w:val="7B203254"/>
    <w:rsid w:val="7B430CF1"/>
    <w:rsid w:val="7BE129E3"/>
    <w:rsid w:val="7C8617DD"/>
    <w:rsid w:val="7D28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rPr>
  </w:style>
  <w:style w:type="paragraph" w:styleId="2">
    <w:name w:val="heading 1"/>
    <w:basedOn w:val="1"/>
    <w:next w:val="1"/>
    <w:qFormat/>
    <w:uiPriority w:val="0"/>
    <w:pPr>
      <w:keepNext/>
      <w:keepLines/>
      <w:spacing w:line="360" w:lineRule="auto"/>
      <w:ind w:firstLine="1120"/>
      <w:outlineLvl w:val="0"/>
    </w:pPr>
    <w:rPr>
      <w:rFonts w:eastAsia="仿宋"/>
      <w:b/>
      <w:bCs/>
      <w:sz w:val="30"/>
      <w:szCs w:val="44"/>
    </w:rPr>
  </w:style>
  <w:style w:type="paragraph" w:styleId="3">
    <w:name w:val="heading 2"/>
    <w:basedOn w:val="1"/>
    <w:next w:val="1"/>
    <w:link w:val="43"/>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4"/>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unhideWhenUsed/>
    <w:qFormat/>
    <w:uiPriority w:val="0"/>
    <w:pPr>
      <w:keepNext/>
      <w:keepLines/>
      <w:spacing w:line="360" w:lineRule="auto"/>
      <w:ind w:firstLine="1120"/>
      <w:outlineLvl w:val="3"/>
    </w:pPr>
    <w:rPr>
      <w:rFonts w:ascii="Arial" w:hAnsi="Arial" w:eastAsia="仿宋"/>
      <w:sz w:val="28"/>
    </w:rPr>
  </w:style>
  <w:style w:type="paragraph" w:styleId="6">
    <w:name w:val="heading 5"/>
    <w:basedOn w:val="1"/>
    <w:next w:val="1"/>
    <w:link w:val="46"/>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7"/>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8"/>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9"/>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50"/>
    <w:unhideWhenUsed/>
    <w:qFormat/>
    <w:uiPriority w:val="9"/>
    <w:pPr>
      <w:keepNext/>
      <w:keepLines/>
      <w:spacing w:before="320" w:after="200"/>
      <w:outlineLvl w:val="8"/>
    </w:pPr>
    <w:rPr>
      <w:rFonts w:ascii="Arial" w:hAnsi="Arial" w:eastAsia="Arial" w:cs="Arial"/>
      <w:i/>
      <w:iCs/>
      <w:sz w:val="21"/>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annotation text"/>
    <w:basedOn w:val="1"/>
    <w:qFormat/>
    <w:uiPriority w:val="99"/>
    <w:pPr>
      <w:jc w:val="left"/>
    </w:pPr>
  </w:style>
  <w:style w:type="paragraph" w:styleId="14">
    <w:name w:val="Body Text"/>
    <w:basedOn w:val="1"/>
    <w:qFormat/>
    <w:uiPriority w:val="1"/>
    <w:pPr>
      <w:spacing w:before="102"/>
      <w:ind w:left="112"/>
    </w:pPr>
    <w:rPr>
      <w:sz w:val="28"/>
      <w:szCs w:val="28"/>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8"/>
    <w:semiHidden/>
    <w:unhideWhenUsed/>
    <w:qFormat/>
    <w:uiPriority w:val="99"/>
    <w:pPr>
      <w:spacing w:after="0" w:line="240" w:lineRule="auto"/>
    </w:pPr>
    <w:rPr>
      <w:sz w:val="20"/>
    </w:rPr>
  </w:style>
  <w:style w:type="paragraph" w:styleId="19">
    <w:name w:val="Balloon Text"/>
    <w:basedOn w:val="1"/>
    <w:qFormat/>
    <w:uiPriority w:val="0"/>
    <w:rPr>
      <w:sz w:val="18"/>
      <w:szCs w:val="18"/>
    </w:rPr>
  </w:style>
  <w:style w:type="paragraph" w:styleId="20">
    <w:name w:val="footer"/>
    <w:basedOn w:val="1"/>
    <w:qFormat/>
    <w:uiPriority w:val="99"/>
    <w:pPr>
      <w:tabs>
        <w:tab w:val="center" w:pos="4153"/>
        <w:tab w:val="right" w:pos="8306"/>
      </w:tabs>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22">
    <w:name w:val="toc 1"/>
    <w:basedOn w:val="1"/>
    <w:next w:val="1"/>
    <w:qFormat/>
    <w:uiPriority w:val="39"/>
  </w:style>
  <w:style w:type="paragraph" w:styleId="23">
    <w:name w:val="toc 4"/>
    <w:basedOn w:val="1"/>
    <w:next w:val="1"/>
    <w:unhideWhenUsed/>
    <w:qFormat/>
    <w:uiPriority w:val="39"/>
    <w:pPr>
      <w:spacing w:after="57"/>
      <w:ind w:left="850" w:right="0" w:firstLine="0"/>
    </w:pPr>
  </w:style>
  <w:style w:type="paragraph" w:styleId="24">
    <w:name w:val="Subtitle"/>
    <w:basedOn w:val="1"/>
    <w:next w:val="1"/>
    <w:link w:val="54"/>
    <w:qFormat/>
    <w:uiPriority w:val="11"/>
    <w:pPr>
      <w:spacing w:before="200" w:after="200"/>
    </w:pPr>
    <w:rPr>
      <w:sz w:val="24"/>
      <w:szCs w:val="24"/>
    </w:rPr>
  </w:style>
  <w:style w:type="paragraph" w:styleId="25">
    <w:name w:val="footnote text"/>
    <w:basedOn w:val="1"/>
    <w:link w:val="187"/>
    <w:semiHidden/>
    <w:unhideWhenUsed/>
    <w:qFormat/>
    <w:uiPriority w:val="99"/>
    <w:pPr>
      <w:spacing w:after="40" w:line="240" w:lineRule="auto"/>
    </w:pPr>
    <w:rPr>
      <w:sz w:val="18"/>
    </w:rPr>
  </w:style>
  <w:style w:type="paragraph" w:styleId="26">
    <w:name w:val="toc 6"/>
    <w:basedOn w:val="1"/>
    <w:next w:val="1"/>
    <w:unhideWhenUsed/>
    <w:qFormat/>
    <w:uiPriority w:val="39"/>
    <w:pPr>
      <w:spacing w:after="57"/>
      <w:ind w:left="1417" w:right="0" w:firstLine="0"/>
    </w:pPr>
  </w:style>
  <w:style w:type="paragraph" w:styleId="27">
    <w:name w:val="table of figures"/>
    <w:basedOn w:val="1"/>
    <w:next w:val="1"/>
    <w:unhideWhenUsed/>
    <w:qFormat/>
    <w:uiPriority w:val="99"/>
    <w:pPr>
      <w:spacing w:after="0" w:afterAutospacing="0"/>
    </w:pPr>
  </w:style>
  <w:style w:type="paragraph" w:styleId="28">
    <w:name w:val="toc 2"/>
    <w:basedOn w:val="1"/>
    <w:next w:val="1"/>
    <w:qFormat/>
    <w:uiPriority w:val="39"/>
    <w:pPr>
      <w:ind w:left="420"/>
    </w:pPr>
  </w:style>
  <w:style w:type="paragraph" w:styleId="29">
    <w:name w:val="toc 9"/>
    <w:basedOn w:val="1"/>
    <w:next w:val="1"/>
    <w:unhideWhenUsed/>
    <w:qFormat/>
    <w:uiPriority w:val="39"/>
    <w:pPr>
      <w:spacing w:after="57"/>
      <w:ind w:left="2268" w:right="0" w:firstLine="0"/>
    </w:pPr>
  </w:style>
  <w:style w:type="paragraph" w:styleId="30">
    <w:name w:val="Normal (Web)"/>
    <w:basedOn w:val="1"/>
    <w:qFormat/>
    <w:uiPriority w:val="0"/>
    <w:pPr>
      <w:spacing w:beforeAutospacing="1" w:afterAutospacing="1"/>
      <w:jc w:val="left"/>
    </w:pPr>
    <w:rPr>
      <w:sz w:val="24"/>
    </w:rPr>
  </w:style>
  <w:style w:type="paragraph" w:styleId="31">
    <w:name w:val="Title"/>
    <w:basedOn w:val="1"/>
    <w:next w:val="1"/>
    <w:link w:val="53"/>
    <w:qFormat/>
    <w:uiPriority w:val="10"/>
    <w:pPr>
      <w:spacing w:before="300" w:after="200"/>
      <w:contextualSpacing/>
    </w:pPr>
    <w:rPr>
      <w:sz w:val="48"/>
      <w:szCs w:val="48"/>
    </w:rPr>
  </w:style>
  <w:style w:type="paragraph" w:styleId="32">
    <w:name w:val="annotation subject"/>
    <w:basedOn w:val="13"/>
    <w:qFormat/>
    <w:uiPriority w:val="0"/>
    <w:rPr>
      <w:b/>
      <w:bCs/>
    </w:rPr>
  </w:style>
  <w:style w:type="table" w:styleId="34">
    <w:name w:val="Table Grid"/>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0"/>
    <w:rPr>
      <w:b/>
    </w:rPr>
  </w:style>
  <w:style w:type="character" w:styleId="37">
    <w:name w:val="endnote reference"/>
    <w:basedOn w:val="35"/>
    <w:semiHidden/>
    <w:unhideWhenUsed/>
    <w:qFormat/>
    <w:uiPriority w:val="99"/>
    <w:rPr>
      <w:vertAlign w:val="superscript"/>
    </w:rPr>
  </w:style>
  <w:style w:type="character" w:styleId="38">
    <w:name w:val="page number"/>
    <w:basedOn w:val="35"/>
    <w:qFormat/>
    <w:uiPriority w:val="0"/>
  </w:style>
  <w:style w:type="character" w:styleId="39">
    <w:name w:val="Hyperlink"/>
    <w:basedOn w:val="35"/>
    <w:unhideWhenUsed/>
    <w:qFormat/>
    <w:uiPriority w:val="99"/>
    <w:rPr>
      <w:color w:val="0563C1" w:themeColor="hyperlink"/>
      <w:u w:val="single"/>
      <w14:textFill>
        <w14:solidFill>
          <w14:schemeClr w14:val="hlink"/>
        </w14:solidFill>
      </w14:textFill>
    </w:rPr>
  </w:style>
  <w:style w:type="character" w:styleId="40">
    <w:name w:val="annotation reference"/>
    <w:basedOn w:val="35"/>
    <w:qFormat/>
    <w:uiPriority w:val="99"/>
    <w:rPr>
      <w:sz w:val="21"/>
      <w:szCs w:val="21"/>
    </w:rPr>
  </w:style>
  <w:style w:type="character" w:styleId="41">
    <w:name w:val="footnote reference"/>
    <w:basedOn w:val="35"/>
    <w:unhideWhenUsed/>
    <w:qFormat/>
    <w:uiPriority w:val="99"/>
    <w:rPr>
      <w:vertAlign w:val="superscript"/>
    </w:rPr>
  </w:style>
  <w:style w:type="character" w:customStyle="1" w:styleId="42">
    <w:name w:val="Heading 1 Char"/>
    <w:basedOn w:val="35"/>
    <w:qFormat/>
    <w:uiPriority w:val="9"/>
    <w:rPr>
      <w:rFonts w:ascii="Arial" w:hAnsi="Arial" w:eastAsia="Arial" w:cs="Arial"/>
      <w:sz w:val="40"/>
      <w:szCs w:val="40"/>
    </w:rPr>
  </w:style>
  <w:style w:type="character" w:customStyle="1" w:styleId="43">
    <w:name w:val="Heading 2 Char"/>
    <w:basedOn w:val="35"/>
    <w:link w:val="3"/>
    <w:qFormat/>
    <w:uiPriority w:val="9"/>
    <w:rPr>
      <w:rFonts w:ascii="Arial" w:hAnsi="Arial" w:eastAsia="Arial" w:cs="Arial"/>
      <w:sz w:val="34"/>
    </w:rPr>
  </w:style>
  <w:style w:type="character" w:customStyle="1" w:styleId="44">
    <w:name w:val="Heading 3 Char"/>
    <w:basedOn w:val="35"/>
    <w:link w:val="4"/>
    <w:qFormat/>
    <w:uiPriority w:val="9"/>
    <w:rPr>
      <w:rFonts w:ascii="Arial" w:hAnsi="Arial" w:eastAsia="Arial" w:cs="Arial"/>
      <w:sz w:val="30"/>
      <w:szCs w:val="30"/>
    </w:rPr>
  </w:style>
  <w:style w:type="character" w:customStyle="1" w:styleId="45">
    <w:name w:val="Heading 4 Char"/>
    <w:basedOn w:val="35"/>
    <w:qFormat/>
    <w:uiPriority w:val="9"/>
    <w:rPr>
      <w:rFonts w:ascii="Arial" w:hAnsi="Arial" w:eastAsia="Arial" w:cs="Arial"/>
      <w:b/>
      <w:bCs/>
      <w:sz w:val="26"/>
      <w:szCs w:val="26"/>
    </w:rPr>
  </w:style>
  <w:style w:type="character" w:customStyle="1" w:styleId="46">
    <w:name w:val="Heading 5 Char"/>
    <w:basedOn w:val="35"/>
    <w:link w:val="6"/>
    <w:qFormat/>
    <w:uiPriority w:val="9"/>
    <w:rPr>
      <w:rFonts w:ascii="Arial" w:hAnsi="Arial" w:eastAsia="Arial" w:cs="Arial"/>
      <w:b/>
      <w:bCs/>
      <w:sz w:val="24"/>
      <w:szCs w:val="24"/>
    </w:rPr>
  </w:style>
  <w:style w:type="character" w:customStyle="1" w:styleId="47">
    <w:name w:val="Heading 6 Char"/>
    <w:basedOn w:val="35"/>
    <w:link w:val="7"/>
    <w:qFormat/>
    <w:uiPriority w:val="9"/>
    <w:rPr>
      <w:rFonts w:ascii="Arial" w:hAnsi="Arial" w:eastAsia="Arial" w:cs="Arial"/>
      <w:b/>
      <w:bCs/>
      <w:sz w:val="22"/>
      <w:szCs w:val="22"/>
    </w:rPr>
  </w:style>
  <w:style w:type="character" w:customStyle="1" w:styleId="48">
    <w:name w:val="Heading 7 Char"/>
    <w:basedOn w:val="35"/>
    <w:link w:val="8"/>
    <w:qFormat/>
    <w:uiPriority w:val="9"/>
    <w:rPr>
      <w:rFonts w:ascii="Arial" w:hAnsi="Arial" w:eastAsia="Arial" w:cs="Arial"/>
      <w:b/>
      <w:bCs/>
      <w:i/>
      <w:iCs/>
      <w:sz w:val="22"/>
      <w:szCs w:val="22"/>
    </w:rPr>
  </w:style>
  <w:style w:type="character" w:customStyle="1" w:styleId="49">
    <w:name w:val="Heading 8 Char"/>
    <w:basedOn w:val="35"/>
    <w:link w:val="9"/>
    <w:qFormat/>
    <w:uiPriority w:val="9"/>
    <w:rPr>
      <w:rFonts w:ascii="Arial" w:hAnsi="Arial" w:eastAsia="Arial" w:cs="Arial"/>
      <w:i/>
      <w:iCs/>
      <w:sz w:val="22"/>
      <w:szCs w:val="22"/>
    </w:rPr>
  </w:style>
  <w:style w:type="character" w:customStyle="1" w:styleId="50">
    <w:name w:val="Heading 9 Char"/>
    <w:basedOn w:val="35"/>
    <w:link w:val="10"/>
    <w:qFormat/>
    <w:uiPriority w:val="9"/>
    <w:rPr>
      <w:rFonts w:ascii="Arial" w:hAnsi="Arial" w:eastAsia="Arial" w:cs="Arial"/>
      <w:i/>
      <w:iCs/>
      <w:sz w:val="21"/>
      <w:szCs w:val="21"/>
    </w:rPr>
  </w:style>
  <w:style w:type="paragraph" w:styleId="51">
    <w:name w:val="List Paragraph"/>
    <w:basedOn w:val="1"/>
    <w:qFormat/>
    <w:uiPriority w:val="34"/>
    <w:pPr>
      <w:ind w:left="720"/>
      <w:contextualSpacing/>
    </w:pPr>
  </w:style>
  <w:style w:type="paragraph" w:styleId="52">
    <w:name w:val="No Spacing"/>
    <w:qFormat/>
    <w:uiPriority w:val="1"/>
    <w:pPr>
      <w:spacing w:before="0" w:after="0" w:line="240" w:lineRule="auto"/>
    </w:pPr>
    <w:rPr>
      <w:rFonts w:hint="default" w:ascii="Times New Roman" w:hAnsi="Times New Roman" w:eastAsia="宋体" w:cs="Times New Roman"/>
    </w:rPr>
  </w:style>
  <w:style w:type="character" w:customStyle="1" w:styleId="53">
    <w:name w:val="Title Char"/>
    <w:basedOn w:val="35"/>
    <w:link w:val="31"/>
    <w:qFormat/>
    <w:uiPriority w:val="10"/>
    <w:rPr>
      <w:sz w:val="48"/>
      <w:szCs w:val="48"/>
    </w:rPr>
  </w:style>
  <w:style w:type="character" w:customStyle="1" w:styleId="54">
    <w:name w:val="Subtitle Char"/>
    <w:basedOn w:val="35"/>
    <w:link w:val="24"/>
    <w:qFormat/>
    <w:uiPriority w:val="11"/>
    <w:rPr>
      <w:sz w:val="24"/>
      <w:szCs w:val="24"/>
    </w:rPr>
  </w:style>
  <w:style w:type="paragraph" w:styleId="55">
    <w:name w:val="Quote"/>
    <w:basedOn w:val="1"/>
    <w:next w:val="1"/>
    <w:link w:val="56"/>
    <w:qFormat/>
    <w:uiPriority w:val="29"/>
    <w:pPr>
      <w:ind w:left="720" w:right="720"/>
    </w:pPr>
    <w:rPr>
      <w:i/>
    </w:rPr>
  </w:style>
  <w:style w:type="character" w:customStyle="1" w:styleId="56">
    <w:name w:val="Quote Char"/>
    <w:link w:val="55"/>
    <w:qFormat/>
    <w:uiPriority w:val="29"/>
    <w:rPr>
      <w:i/>
    </w:rPr>
  </w:style>
  <w:style w:type="paragraph" w:styleId="57">
    <w:name w:val="Intense Quote"/>
    <w:basedOn w:val="1"/>
    <w:next w:val="1"/>
    <w:link w:val="5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8">
    <w:name w:val="Intense Quote Char"/>
    <w:link w:val="57"/>
    <w:qFormat/>
    <w:uiPriority w:val="30"/>
    <w:rPr>
      <w:i/>
    </w:rPr>
  </w:style>
  <w:style w:type="character" w:customStyle="1" w:styleId="59">
    <w:name w:val="Header Char"/>
    <w:basedOn w:val="35"/>
    <w:qFormat/>
    <w:uiPriority w:val="99"/>
  </w:style>
  <w:style w:type="character" w:customStyle="1" w:styleId="60">
    <w:name w:val="Footer Char"/>
    <w:basedOn w:val="35"/>
    <w:qFormat/>
    <w:uiPriority w:val="99"/>
  </w:style>
  <w:style w:type="character" w:customStyle="1" w:styleId="61">
    <w:name w:val="Caption Char"/>
    <w:qFormat/>
    <w:uiPriority w:val="99"/>
  </w:style>
  <w:style w:type="table" w:customStyle="1" w:styleId="62">
    <w:name w:val="Table Grid Light"/>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3">
    <w:name w:val="Plain Table 1"/>
    <w:basedOn w:val="33"/>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4">
    <w:name w:val="Plain Table 2"/>
    <w:basedOn w:val="33"/>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5">
    <w:name w:val="Plain Table 3"/>
    <w:basedOn w:val="3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4"/>
    <w:basedOn w:val="33"/>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Plain Table 5"/>
    <w:basedOn w:val="33"/>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8">
    <w:name w:val="Grid Table 1 Light"/>
    <w:basedOn w:val="33"/>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9">
    <w:name w:val="Grid Table 1 Light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70">
    <w:name w:val="Grid Table 1 Light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1">
    <w:name w:val="Grid Table 1 Light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2">
    <w:name w:val="Grid Table 1 Light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3">
    <w:name w:val="Grid Table 1 Light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4">
    <w:name w:val="Grid Table 1 Light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5">
    <w:name w:val="Grid Table 2"/>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2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7">
    <w:name w:val="Grid Table 2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8">
    <w:name w:val="Grid Table 2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9">
    <w:name w:val="Grid Table 2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0">
    <w:name w:val="Grid Table 2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1">
    <w:name w:val="Grid Table 2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2">
    <w:name w:val="Grid Table 3"/>
    <w:basedOn w:val="3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3 - Accent 1"/>
    <w:basedOn w:val="33"/>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4">
    <w:name w:val="Grid Table 3 - Accent 2"/>
    <w:basedOn w:val="33"/>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5">
    <w:name w:val="Grid Table 3 - Accent 3"/>
    <w:basedOn w:val="33"/>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6">
    <w:name w:val="Grid Table 3 - Accent 4"/>
    <w:basedOn w:val="33"/>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7">
    <w:name w:val="Grid Table 3 - Accent 5"/>
    <w:basedOn w:val="33"/>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8">
    <w:name w:val="Grid Table 3 - Accent 6"/>
    <w:basedOn w:val="33"/>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9">
    <w:name w:val="Grid Table 4"/>
    <w:basedOn w:val="33"/>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4 - Accent 1"/>
    <w:basedOn w:val="33"/>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1">
    <w:name w:val="Grid Table 4 - Accent 2"/>
    <w:basedOn w:val="33"/>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2">
    <w:name w:val="Grid Table 4 - Accent 3"/>
    <w:basedOn w:val="33"/>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3">
    <w:name w:val="Grid Table 4 - Accent 4"/>
    <w:basedOn w:val="33"/>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4">
    <w:name w:val="Grid Table 4 - Accent 5"/>
    <w:basedOn w:val="33"/>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5">
    <w:name w:val="Grid Table 4 - Accent 6"/>
    <w:basedOn w:val="33"/>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6">
    <w:name w:val="Grid Table 5 Dark"/>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7">
    <w:name w:val="Grid Table 5 Dark- Accent 1"/>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8">
    <w:name w:val="Grid Table 5 Dark - Accent 2"/>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9">
    <w:name w:val="Grid Table 5 Dark - Accent 3"/>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00">
    <w:name w:val="Grid Table 5 Dark- Accent 4"/>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1">
    <w:name w:val="Grid Table 5 Dark - Accent 5"/>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2">
    <w:name w:val="Grid Table 5 Dark - Accent 6"/>
    <w:basedOn w:val="3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3">
    <w:name w:val="Grid Table 6 Colorful"/>
    <w:basedOn w:val="33"/>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6 Colorful - Accent 1"/>
    <w:basedOn w:val="33"/>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5">
    <w:name w:val="Grid Table 6 Colorful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6">
    <w:name w:val="Grid Table 6 Colorful - Accent 3"/>
    <w:basedOn w:val="33"/>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7">
    <w:name w:val="Grid Table 6 Colorful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8">
    <w:name w:val="Grid Table 6 Colorful - Accent 5"/>
    <w:basedOn w:val="33"/>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9">
    <w:name w:val="Grid Table 6 Colorful - Accent 6"/>
    <w:basedOn w:val="33"/>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10">
    <w:name w:val="Grid Table 7 Colorful"/>
    <w:basedOn w:val="33"/>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1">
    <w:name w:val="Grid Table 7 Colorful - Accent 1"/>
    <w:basedOn w:val="33"/>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2">
    <w:name w:val="Grid Table 7 Colorful - Accent 2"/>
    <w:basedOn w:val="33"/>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3">
    <w:name w:val="Grid Table 7 Colorful - Accent 3"/>
    <w:basedOn w:val="33"/>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4">
    <w:name w:val="Grid Table 7 Colorful - Accent 4"/>
    <w:basedOn w:val="33"/>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5">
    <w:name w:val="Grid Table 7 Colorful - Accent 5"/>
    <w:basedOn w:val="33"/>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6">
    <w:name w:val="Grid Table 7 Colorful - Accent 6"/>
    <w:basedOn w:val="33"/>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7">
    <w:name w:val="List Table 1 Light"/>
    <w:basedOn w:val="33"/>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8">
    <w:name w:val="List Table 1 Light - Accent 1"/>
    <w:basedOn w:val="33"/>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9">
    <w:name w:val="List Table 1 Light - Accent 2"/>
    <w:basedOn w:val="33"/>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20">
    <w:name w:val="List Table 1 Light - Accent 3"/>
    <w:basedOn w:val="33"/>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1">
    <w:name w:val="List Table 1 Light - Accent 4"/>
    <w:basedOn w:val="33"/>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2">
    <w:name w:val="List Table 1 Light - Accent 5"/>
    <w:basedOn w:val="33"/>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3">
    <w:name w:val="List Table 1 Light - Accent 6"/>
    <w:basedOn w:val="33"/>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4">
    <w:name w:val="List Table 2"/>
    <w:basedOn w:val="33"/>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5">
    <w:name w:val="List Table 2 - Accent 1"/>
    <w:basedOn w:val="33"/>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6">
    <w:name w:val="List Table 2 - Accent 2"/>
    <w:basedOn w:val="33"/>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7">
    <w:name w:val="List Table 2 - Accent 3"/>
    <w:basedOn w:val="33"/>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8">
    <w:name w:val="List Table 2 - Accent 4"/>
    <w:basedOn w:val="33"/>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9">
    <w:name w:val="List Table 2 - Accent 5"/>
    <w:basedOn w:val="33"/>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0">
    <w:name w:val="List Table 2 - Accent 6"/>
    <w:basedOn w:val="33"/>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1">
    <w:name w:val="List Table 3"/>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2">
    <w:name w:val="List Table 3 - Accent 1"/>
    <w:basedOn w:val="33"/>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3">
    <w:name w:val="List Table 3 - Accent 2"/>
    <w:basedOn w:val="33"/>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4">
    <w:name w:val="List Table 3 - Accent 3"/>
    <w:basedOn w:val="33"/>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5">
    <w:name w:val="List Table 3 - Accent 4"/>
    <w:basedOn w:val="33"/>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6">
    <w:name w:val="List Table 3 - Accent 5"/>
    <w:basedOn w:val="33"/>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7">
    <w:name w:val="List Table 3 - Accent 6"/>
    <w:basedOn w:val="33"/>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8">
    <w:name w:val="List Table 4"/>
    <w:basedOn w:val="3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9">
    <w:name w:val="List Table 4 - Accent 1"/>
    <w:basedOn w:val="33"/>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0">
    <w:name w:val="List Table 4 - Accent 2"/>
    <w:basedOn w:val="33"/>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1">
    <w:name w:val="List Table 4 - Accent 3"/>
    <w:basedOn w:val="33"/>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2">
    <w:name w:val="List Table 4 - Accent 4"/>
    <w:basedOn w:val="33"/>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3">
    <w:name w:val="List Table 4 - Accent 5"/>
    <w:basedOn w:val="33"/>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4">
    <w:name w:val="List Table 4 - Accent 6"/>
    <w:basedOn w:val="33"/>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5">
    <w:name w:val="List Table 5 Dark"/>
    <w:basedOn w:val="33"/>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6">
    <w:name w:val="List Table 5 Dark - Accent 1"/>
    <w:basedOn w:val="33"/>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7">
    <w:name w:val="List Table 5 Dark - Accent 2"/>
    <w:basedOn w:val="33"/>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8">
    <w:name w:val="List Table 5 Dark - Accent 3"/>
    <w:basedOn w:val="33"/>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9">
    <w:name w:val="List Table 5 Dark - Accent 4"/>
    <w:basedOn w:val="33"/>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50">
    <w:name w:val="List Table 5 Dark - Accent 5"/>
    <w:basedOn w:val="33"/>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1">
    <w:name w:val="List Table 5 Dark - Accent 6"/>
    <w:basedOn w:val="33"/>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2">
    <w:name w:val="List Table 6 Colorful"/>
    <w:basedOn w:val="33"/>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3">
    <w:name w:val="List Table 6 Colorful - Accent 1"/>
    <w:basedOn w:val="33"/>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4">
    <w:name w:val="List Table 6 Colorful - Accent 2"/>
    <w:basedOn w:val="33"/>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5">
    <w:name w:val="List Table 6 Colorful - Accent 3"/>
    <w:basedOn w:val="33"/>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6">
    <w:name w:val="List Table 6 Colorful - Accent 4"/>
    <w:basedOn w:val="33"/>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7">
    <w:name w:val="List Table 6 Colorful - Accent 5"/>
    <w:basedOn w:val="33"/>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8">
    <w:name w:val="List Table 6 Colorful - Accent 6"/>
    <w:basedOn w:val="33"/>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9">
    <w:name w:val="List Table 7 Colorful"/>
    <w:basedOn w:val="33"/>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0">
    <w:name w:val="List Table 7 Colorful - Accent 1"/>
    <w:basedOn w:val="33"/>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1">
    <w:name w:val="List Table 7 Colorful - Accent 2"/>
    <w:basedOn w:val="33"/>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2">
    <w:name w:val="List Table 7 Colorful - Accent 3"/>
    <w:basedOn w:val="33"/>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3">
    <w:name w:val="List Table 7 Colorful - Accent 4"/>
    <w:basedOn w:val="33"/>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4">
    <w:name w:val="List Table 7 Colorful - Accent 5"/>
    <w:basedOn w:val="33"/>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5">
    <w:name w:val="List Table 7 Colorful - Accent 6"/>
    <w:basedOn w:val="33"/>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6">
    <w:name w:val="Lined - Accent"/>
    <w:basedOn w:val="33"/>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Lined - Accent 1"/>
    <w:basedOn w:val="33"/>
    <w:qFormat/>
    <w:uiPriority w:val="99"/>
    <w:pPr>
      <w:spacing w:after="0" w:line="240" w:lineRule="auto"/>
    </w:pPr>
    <w:rPr>
      <w:color w:val="404040"/>
    </w:r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8">
    <w:name w:val="Lined - Accent 2"/>
    <w:basedOn w:val="33"/>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9">
    <w:name w:val="Lined - Accent 3"/>
    <w:basedOn w:val="33"/>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0">
    <w:name w:val="Lined - Accent 4"/>
    <w:basedOn w:val="33"/>
    <w:qFormat/>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1">
    <w:name w:val="Lined - Accent 5"/>
    <w:basedOn w:val="33"/>
    <w:qFormat/>
    <w:uiPriority w:val="99"/>
    <w:pPr>
      <w:spacing w:after="0" w:line="240" w:lineRule="auto"/>
    </w:pPr>
    <w:rPr>
      <w:color w:val="404040"/>
    </w:r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2">
    <w:name w:val="Lined - Accent 6"/>
    <w:basedOn w:val="33"/>
    <w:qFormat/>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3">
    <w:name w:val="Bordered &amp; Lined - Accent"/>
    <w:basedOn w:val="33"/>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4">
    <w:name w:val="Bordered &amp; Lined - Accent 1"/>
    <w:basedOn w:val="33"/>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5">
    <w:name w:val="Bordered &amp; Lined - Accent 2"/>
    <w:basedOn w:val="33"/>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6">
    <w:name w:val="Bordered &amp; Lined - Accent 3"/>
    <w:basedOn w:val="33"/>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7">
    <w:name w:val="Bordered &amp; Lined - Accent 4"/>
    <w:basedOn w:val="33"/>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8">
    <w:name w:val="Bordered &amp; Lined - Accent 5"/>
    <w:basedOn w:val="33"/>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9">
    <w:name w:val="Bordered &amp; Lined - Accent 6"/>
    <w:basedOn w:val="33"/>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0">
    <w:name w:val="Bordered"/>
    <w:basedOn w:val="33"/>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1">
    <w:name w:val="Bordered - Accent 1"/>
    <w:basedOn w:val="33"/>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2">
    <w:name w:val="Bordered - Accent 2"/>
    <w:basedOn w:val="33"/>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3">
    <w:name w:val="Bordered - Accent 3"/>
    <w:basedOn w:val="33"/>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4">
    <w:name w:val="Bordered - Accent 4"/>
    <w:basedOn w:val="33"/>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5">
    <w:name w:val="Bordered - Accent 5"/>
    <w:basedOn w:val="33"/>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6">
    <w:name w:val="Bordered - Accent 6"/>
    <w:basedOn w:val="33"/>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7">
    <w:name w:val="Footnote Text Char"/>
    <w:link w:val="25"/>
    <w:qFormat/>
    <w:uiPriority w:val="99"/>
    <w:rPr>
      <w:sz w:val="18"/>
    </w:rPr>
  </w:style>
  <w:style w:type="character" w:customStyle="1" w:styleId="188">
    <w:name w:val="Endnote Text Char"/>
    <w:link w:val="18"/>
    <w:qFormat/>
    <w:uiPriority w:val="99"/>
    <w:rPr>
      <w:sz w:val="20"/>
    </w:rPr>
  </w:style>
  <w:style w:type="paragraph" w:customStyle="1" w:styleId="189">
    <w:name w:val="TOC Heading"/>
    <w:unhideWhenUsed/>
    <w:qFormat/>
    <w:uiPriority w:val="39"/>
    <w:rPr>
      <w:rFonts w:hint="default" w:ascii="Times New Roman" w:hAnsi="Times New Roman" w:eastAsia="宋体" w:cs="Times New Roman"/>
    </w:rPr>
  </w:style>
  <w:style w:type="paragraph" w:customStyle="1" w:styleId="19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191">
    <w:name w:val="Char Char Char Char Char Char Char"/>
    <w:basedOn w:val="1"/>
    <w:qFormat/>
    <w:uiPriority w:val="0"/>
    <w:rPr>
      <w:rFonts w:eastAsia="仿宋_GB2312"/>
      <w:sz w:val="30"/>
      <w:szCs w:val="21"/>
    </w:rPr>
  </w:style>
  <w:style w:type="paragraph" w:customStyle="1" w:styleId="192">
    <w:name w:val="正文缩进1"/>
    <w:basedOn w:val="1"/>
    <w:qFormat/>
    <w:uiPriority w:val="0"/>
    <w:pPr>
      <w:ind w:firstLine="420"/>
    </w:pPr>
  </w:style>
  <w:style w:type="paragraph" w:customStyle="1" w:styleId="193">
    <w:name w:val="BodyText"/>
    <w:basedOn w:val="1"/>
    <w:qFormat/>
    <w:uiPriority w:val="0"/>
    <w:pPr>
      <w:jc w:val="center"/>
    </w:pPr>
    <w:rPr>
      <w:sz w:val="20"/>
      <w:szCs w:val="24"/>
    </w:rPr>
  </w:style>
  <w:style w:type="paragraph" w:customStyle="1" w:styleId="194">
    <w:name w:val="UserStyle_5"/>
    <w:basedOn w:val="1"/>
    <w:qFormat/>
    <w:uiPriority w:val="0"/>
    <w:pPr>
      <w:keepNext/>
      <w:keepLines/>
      <w:spacing w:line="500" w:lineRule="exact"/>
      <w:ind w:firstLine="200"/>
      <w:jc w:val="left"/>
    </w:pPr>
    <w:rPr>
      <w:b/>
      <w:bCs/>
      <w:szCs w:val="28"/>
    </w:rPr>
  </w:style>
  <w:style w:type="paragraph" w:customStyle="1" w:styleId="195">
    <w:name w:val="WPSOffice手动目录 1"/>
    <w:qFormat/>
    <w:uiPriority w:val="0"/>
    <w:rPr>
      <w:rFonts w:hint="default" w:ascii="Times New Roman" w:hAnsi="Times New Roman" w:eastAsia="宋体" w:cs="Times New Roman"/>
    </w:rPr>
  </w:style>
  <w:style w:type="paragraph" w:customStyle="1" w:styleId="196">
    <w:name w:val="WPSOffice手动目录 2"/>
    <w:qFormat/>
    <w:uiPriority w:val="0"/>
    <w:pPr>
      <w:ind w:left="200"/>
    </w:pPr>
    <w:rPr>
      <w:rFonts w:hint="default" w:ascii="Times New Roman" w:hAnsi="Times New Roman" w:eastAsia="宋体" w:cs="Times New Roman"/>
    </w:rPr>
  </w:style>
  <w:style w:type="character" w:customStyle="1" w:styleId="197">
    <w:name w:val="批注文字 字符"/>
    <w:basedOn w:val="35"/>
    <w:qFormat/>
    <w:uiPriority w:val="99"/>
    <w:rPr>
      <w:sz w:val="21"/>
    </w:rPr>
  </w:style>
  <w:style w:type="character" w:customStyle="1" w:styleId="198">
    <w:name w:val="批注主题 字符"/>
    <w:basedOn w:val="197"/>
    <w:qFormat/>
    <w:uiPriority w:val="0"/>
    <w:rPr>
      <w:b/>
      <w:bCs/>
      <w:sz w:val="21"/>
    </w:rPr>
  </w:style>
  <w:style w:type="character" w:customStyle="1" w:styleId="199">
    <w:name w:val="正文文本 字符"/>
    <w:basedOn w:val="35"/>
    <w:qFormat/>
    <w:uiPriority w:val="1"/>
    <w:rPr>
      <w:sz w:val="28"/>
      <w:szCs w:val="28"/>
    </w:rPr>
  </w:style>
  <w:style w:type="character" w:customStyle="1" w:styleId="200">
    <w:name w:val="批注框文本 字符"/>
    <w:basedOn w:val="35"/>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9924</Words>
  <Characters>10750</Characters>
  <TotalTime>21</TotalTime>
  <ScaleCrop>false</ScaleCrop>
  <LinksUpToDate>false</LinksUpToDate>
  <CharactersWithSpaces>10905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2024-11-13T02:17:55Z</dcterms:modified>
  <cp:revision>324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D54325D2B63E464B85CEBA0B8A67221D_13</vt:lpwstr>
  </property>
</Properties>
</file>