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6C7A4">
      <w:pPr>
        <w:spacing w:line="248" w:lineRule="auto"/>
        <w:rPr>
          <w:rFonts w:ascii="宋体"/>
        </w:rPr>
      </w:pPr>
    </w:p>
    <w:p w14:paraId="0811F31D">
      <w:pPr>
        <w:spacing w:line="248" w:lineRule="auto"/>
        <w:rPr>
          <w:rFonts w:ascii="宋体"/>
        </w:rPr>
      </w:pPr>
      <w:bookmarkStart w:id="0" w:name="_Toc28812"/>
    </w:p>
    <w:p w14:paraId="0E70AC92">
      <w:pPr>
        <w:spacing w:line="248" w:lineRule="auto"/>
        <w:rPr>
          <w:rFonts w:ascii="宋体"/>
        </w:rPr>
      </w:pPr>
    </w:p>
    <w:p w14:paraId="3708BB53">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应急广播建设县级补助及运维费</w:t>
      </w:r>
      <w:bookmarkEnd w:id="1"/>
      <w:bookmarkEnd w:id="2"/>
    </w:p>
    <w:p w14:paraId="41750088">
      <w:pPr>
        <w:spacing w:line="248" w:lineRule="auto"/>
        <w:rPr>
          <w:rFonts w:ascii="宋体"/>
        </w:rPr>
      </w:pPr>
    </w:p>
    <w:p w14:paraId="7B30E861">
      <w:pPr>
        <w:spacing w:line="248" w:lineRule="auto"/>
        <w:rPr>
          <w:rFonts w:ascii="宋体"/>
        </w:rPr>
      </w:pPr>
    </w:p>
    <w:p w14:paraId="284EB4DC">
      <w:pPr>
        <w:spacing w:line="248" w:lineRule="auto"/>
        <w:rPr>
          <w:rFonts w:ascii="宋体"/>
        </w:rPr>
      </w:pPr>
    </w:p>
    <w:p w14:paraId="58120F02">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61A0AA6E">
      <w:pPr>
        <w:spacing w:line="248" w:lineRule="auto"/>
        <w:rPr>
          <w:rFonts w:ascii="宋体"/>
        </w:rPr>
      </w:pPr>
    </w:p>
    <w:p w14:paraId="18A0C21E">
      <w:pPr>
        <w:spacing w:line="248" w:lineRule="auto"/>
        <w:rPr>
          <w:rFonts w:ascii="宋体"/>
        </w:rPr>
      </w:pPr>
    </w:p>
    <w:p w14:paraId="01E8FEF8">
      <w:pPr>
        <w:spacing w:line="248" w:lineRule="auto"/>
        <w:rPr>
          <w:rFonts w:ascii="宋体"/>
        </w:rPr>
      </w:pPr>
    </w:p>
    <w:p w14:paraId="4604A427">
      <w:pPr>
        <w:spacing w:line="248" w:lineRule="auto"/>
        <w:jc w:val="left"/>
        <w:rPr>
          <w:rFonts w:ascii="宋体"/>
        </w:rPr>
      </w:pPr>
    </w:p>
    <w:p w14:paraId="040FD536">
      <w:pPr>
        <w:spacing w:line="248" w:lineRule="auto"/>
        <w:jc w:val="left"/>
        <w:rPr>
          <w:rFonts w:ascii="宋体"/>
        </w:rPr>
      </w:pPr>
    </w:p>
    <w:p w14:paraId="07B6D042">
      <w:pPr>
        <w:spacing w:line="248" w:lineRule="auto"/>
        <w:jc w:val="left"/>
        <w:rPr>
          <w:rFonts w:ascii="宋体"/>
        </w:rPr>
      </w:pPr>
    </w:p>
    <w:p w14:paraId="5BCFA315">
      <w:pPr>
        <w:spacing w:line="248" w:lineRule="auto"/>
        <w:jc w:val="left"/>
        <w:rPr>
          <w:rFonts w:ascii="宋体"/>
        </w:rPr>
      </w:pPr>
    </w:p>
    <w:p w14:paraId="2A91B8D9">
      <w:pPr>
        <w:spacing w:line="248" w:lineRule="auto"/>
        <w:jc w:val="left"/>
        <w:rPr>
          <w:rFonts w:ascii="宋体"/>
        </w:rPr>
      </w:pPr>
    </w:p>
    <w:p w14:paraId="315B688C">
      <w:pPr>
        <w:spacing w:line="248" w:lineRule="auto"/>
        <w:rPr>
          <w:rFonts w:ascii="宋体"/>
        </w:rPr>
      </w:pPr>
    </w:p>
    <w:p w14:paraId="017196D8">
      <w:pPr>
        <w:spacing w:line="248" w:lineRule="auto"/>
        <w:jc w:val="left"/>
        <w:rPr>
          <w:rFonts w:ascii="宋体"/>
        </w:rPr>
      </w:pPr>
    </w:p>
    <w:p w14:paraId="76B7FEB3">
      <w:pPr>
        <w:spacing w:line="248" w:lineRule="auto"/>
        <w:jc w:val="left"/>
        <w:rPr>
          <w:rFonts w:ascii="宋体"/>
        </w:rPr>
      </w:pPr>
    </w:p>
    <w:p w14:paraId="6C97B015">
      <w:pPr>
        <w:spacing w:line="248" w:lineRule="auto"/>
        <w:jc w:val="left"/>
        <w:rPr>
          <w:rFonts w:ascii="宋体"/>
        </w:rPr>
      </w:pPr>
    </w:p>
    <w:p w14:paraId="7BCE8071">
      <w:pPr>
        <w:spacing w:line="248" w:lineRule="auto"/>
        <w:jc w:val="left"/>
        <w:rPr>
          <w:rFonts w:ascii="宋体"/>
        </w:rPr>
      </w:pPr>
    </w:p>
    <w:p w14:paraId="06783E2F">
      <w:pPr>
        <w:spacing w:line="248" w:lineRule="auto"/>
        <w:jc w:val="left"/>
        <w:rPr>
          <w:rFonts w:ascii="宋体"/>
        </w:rPr>
      </w:pPr>
    </w:p>
    <w:p w14:paraId="47EF54BF">
      <w:pPr>
        <w:spacing w:line="248" w:lineRule="auto"/>
        <w:jc w:val="left"/>
        <w:rPr>
          <w:rFonts w:ascii="宋体"/>
        </w:rPr>
      </w:pPr>
    </w:p>
    <w:p w14:paraId="050AB226">
      <w:pPr>
        <w:spacing w:line="248" w:lineRule="auto"/>
        <w:rPr>
          <w:rFonts w:ascii="宋体"/>
        </w:rPr>
      </w:pPr>
    </w:p>
    <w:p w14:paraId="7E85DBE7">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主管部门：扶风县文化和旅游局</w:t>
      </w:r>
    </w:p>
    <w:p w14:paraId="19087BD7">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项目单位：扶风县文化和旅游局</w:t>
      </w:r>
    </w:p>
    <w:p w14:paraId="6A28E18C">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6ADD829A">
      <w:pPr>
        <w:widowControl/>
        <w:spacing w:line="600" w:lineRule="exact"/>
        <w:ind w:firstLine="960" w:firstLineChars="300"/>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00A8A7BD">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763994FE">
          <w:pPr>
            <w:pStyle w:val="9"/>
            <w:tabs>
              <w:tab w:val="right" w:leader="dot" w:pos="8250"/>
            </w:tabs>
            <w:rPr>
              <w:sz w:val="28"/>
              <w:szCs w:val="24"/>
            </w:rPr>
          </w:pPr>
          <w:r>
            <w:rPr>
              <w:sz w:val="28"/>
              <w:szCs w:val="24"/>
            </w:rPr>
            <w:fldChar w:fldCharType="begin"/>
          </w:r>
          <w:r>
            <w:rPr>
              <w:sz w:val="28"/>
              <w:szCs w:val="24"/>
            </w:rPr>
            <w:instrText xml:space="preserve"> HYPERLINK \l _Toc18801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_Toc18801 \h </w:instrText>
          </w:r>
          <w:r>
            <w:rPr>
              <w:sz w:val="28"/>
              <w:szCs w:val="24"/>
            </w:rPr>
            <w:fldChar w:fldCharType="separate"/>
          </w:r>
          <w:r>
            <w:rPr>
              <w:sz w:val="28"/>
              <w:szCs w:val="24"/>
            </w:rPr>
            <w:t>2</w:t>
          </w:r>
          <w:r>
            <w:rPr>
              <w:sz w:val="28"/>
              <w:szCs w:val="24"/>
            </w:rPr>
            <w:fldChar w:fldCharType="end"/>
          </w:r>
          <w:r>
            <w:rPr>
              <w:sz w:val="28"/>
              <w:szCs w:val="24"/>
            </w:rPr>
            <w:fldChar w:fldCharType="end"/>
          </w:r>
        </w:p>
        <w:p w14:paraId="565BFD6A">
          <w:pPr>
            <w:pStyle w:val="9"/>
            <w:tabs>
              <w:tab w:val="right" w:leader="dot" w:pos="8250"/>
            </w:tabs>
            <w:rPr>
              <w:sz w:val="28"/>
              <w:szCs w:val="24"/>
            </w:rPr>
          </w:pPr>
          <w:r>
            <w:rPr>
              <w:sz w:val="28"/>
              <w:szCs w:val="24"/>
            </w:rPr>
            <w:fldChar w:fldCharType="begin"/>
          </w:r>
          <w:r>
            <w:rPr>
              <w:sz w:val="28"/>
              <w:szCs w:val="24"/>
            </w:rPr>
            <w:instrText xml:space="preserve"> HYPERLINK \l _Toc25122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_Toc25122 \h </w:instrText>
          </w:r>
          <w:r>
            <w:rPr>
              <w:sz w:val="28"/>
              <w:szCs w:val="24"/>
            </w:rPr>
            <w:fldChar w:fldCharType="separate"/>
          </w:r>
          <w:r>
            <w:rPr>
              <w:sz w:val="28"/>
              <w:szCs w:val="24"/>
            </w:rPr>
            <w:t>1</w:t>
          </w:r>
          <w:r>
            <w:rPr>
              <w:sz w:val="28"/>
              <w:szCs w:val="24"/>
            </w:rPr>
            <w:fldChar w:fldCharType="end"/>
          </w:r>
          <w:r>
            <w:rPr>
              <w:sz w:val="28"/>
              <w:szCs w:val="24"/>
            </w:rPr>
            <w:fldChar w:fldCharType="end"/>
          </w:r>
        </w:p>
        <w:p w14:paraId="7FB72F9F">
          <w:pPr>
            <w:pStyle w:val="10"/>
            <w:tabs>
              <w:tab w:val="right" w:leader="dot" w:pos="8250"/>
            </w:tabs>
            <w:rPr>
              <w:sz w:val="28"/>
              <w:szCs w:val="24"/>
            </w:rPr>
          </w:pPr>
          <w:r>
            <w:rPr>
              <w:sz w:val="28"/>
              <w:szCs w:val="24"/>
            </w:rPr>
            <w:fldChar w:fldCharType="begin"/>
          </w:r>
          <w:r>
            <w:rPr>
              <w:sz w:val="28"/>
              <w:szCs w:val="24"/>
            </w:rPr>
            <w:instrText xml:space="preserve"> HYPERLINK \l _Toc2001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_Toc2001 \h </w:instrText>
          </w:r>
          <w:r>
            <w:rPr>
              <w:sz w:val="28"/>
              <w:szCs w:val="24"/>
            </w:rPr>
            <w:fldChar w:fldCharType="separate"/>
          </w:r>
          <w:r>
            <w:rPr>
              <w:sz w:val="28"/>
              <w:szCs w:val="24"/>
            </w:rPr>
            <w:t>1</w:t>
          </w:r>
          <w:r>
            <w:rPr>
              <w:sz w:val="28"/>
              <w:szCs w:val="24"/>
            </w:rPr>
            <w:fldChar w:fldCharType="end"/>
          </w:r>
          <w:r>
            <w:rPr>
              <w:sz w:val="28"/>
              <w:szCs w:val="24"/>
            </w:rPr>
            <w:fldChar w:fldCharType="end"/>
          </w:r>
        </w:p>
        <w:p w14:paraId="65AD07C7">
          <w:pPr>
            <w:pStyle w:val="10"/>
            <w:tabs>
              <w:tab w:val="right" w:leader="dot" w:pos="8250"/>
            </w:tabs>
            <w:rPr>
              <w:sz w:val="28"/>
              <w:szCs w:val="24"/>
            </w:rPr>
          </w:pPr>
          <w:r>
            <w:rPr>
              <w:sz w:val="28"/>
              <w:szCs w:val="24"/>
            </w:rPr>
            <w:fldChar w:fldCharType="begin"/>
          </w:r>
          <w:r>
            <w:rPr>
              <w:sz w:val="28"/>
              <w:szCs w:val="24"/>
            </w:rPr>
            <w:instrText xml:space="preserve"> HYPERLINK \l _Toc18294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_Toc18294 \h </w:instrText>
          </w:r>
          <w:r>
            <w:rPr>
              <w:sz w:val="28"/>
              <w:szCs w:val="24"/>
            </w:rPr>
            <w:fldChar w:fldCharType="separate"/>
          </w:r>
          <w:r>
            <w:rPr>
              <w:sz w:val="28"/>
              <w:szCs w:val="24"/>
            </w:rPr>
            <w:t>3</w:t>
          </w:r>
          <w:r>
            <w:rPr>
              <w:sz w:val="28"/>
              <w:szCs w:val="24"/>
            </w:rPr>
            <w:fldChar w:fldCharType="end"/>
          </w:r>
          <w:r>
            <w:rPr>
              <w:sz w:val="28"/>
              <w:szCs w:val="24"/>
            </w:rPr>
            <w:fldChar w:fldCharType="end"/>
          </w:r>
        </w:p>
        <w:p w14:paraId="17C846C3">
          <w:pPr>
            <w:pStyle w:val="9"/>
            <w:tabs>
              <w:tab w:val="right" w:leader="dot" w:pos="8250"/>
            </w:tabs>
            <w:rPr>
              <w:sz w:val="28"/>
              <w:szCs w:val="24"/>
            </w:rPr>
          </w:pPr>
          <w:r>
            <w:rPr>
              <w:sz w:val="28"/>
              <w:szCs w:val="24"/>
            </w:rPr>
            <w:fldChar w:fldCharType="begin"/>
          </w:r>
          <w:r>
            <w:rPr>
              <w:sz w:val="28"/>
              <w:szCs w:val="24"/>
            </w:rPr>
            <w:instrText xml:space="preserve"> HYPERLINK \l _Toc13984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_Toc13984 \h </w:instrText>
          </w:r>
          <w:r>
            <w:rPr>
              <w:sz w:val="28"/>
              <w:szCs w:val="24"/>
            </w:rPr>
            <w:fldChar w:fldCharType="separate"/>
          </w:r>
          <w:r>
            <w:rPr>
              <w:sz w:val="28"/>
              <w:szCs w:val="24"/>
            </w:rPr>
            <w:t>4</w:t>
          </w:r>
          <w:r>
            <w:rPr>
              <w:sz w:val="28"/>
              <w:szCs w:val="24"/>
            </w:rPr>
            <w:fldChar w:fldCharType="end"/>
          </w:r>
          <w:r>
            <w:rPr>
              <w:sz w:val="28"/>
              <w:szCs w:val="24"/>
            </w:rPr>
            <w:fldChar w:fldCharType="end"/>
          </w:r>
        </w:p>
        <w:p w14:paraId="520AD0C5">
          <w:pPr>
            <w:pStyle w:val="10"/>
            <w:tabs>
              <w:tab w:val="right" w:leader="dot" w:pos="8250"/>
            </w:tabs>
            <w:rPr>
              <w:sz w:val="28"/>
              <w:szCs w:val="24"/>
            </w:rPr>
          </w:pPr>
          <w:r>
            <w:rPr>
              <w:sz w:val="28"/>
              <w:szCs w:val="24"/>
            </w:rPr>
            <w:fldChar w:fldCharType="begin"/>
          </w:r>
          <w:r>
            <w:rPr>
              <w:sz w:val="28"/>
              <w:szCs w:val="24"/>
            </w:rPr>
            <w:instrText xml:space="preserve"> HYPERLINK \l _Toc24135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_Toc24135 \h </w:instrText>
          </w:r>
          <w:r>
            <w:rPr>
              <w:sz w:val="28"/>
              <w:szCs w:val="24"/>
            </w:rPr>
            <w:fldChar w:fldCharType="separate"/>
          </w:r>
          <w:r>
            <w:rPr>
              <w:sz w:val="28"/>
              <w:szCs w:val="24"/>
            </w:rPr>
            <w:t>4</w:t>
          </w:r>
          <w:r>
            <w:rPr>
              <w:sz w:val="28"/>
              <w:szCs w:val="24"/>
            </w:rPr>
            <w:fldChar w:fldCharType="end"/>
          </w:r>
          <w:r>
            <w:rPr>
              <w:sz w:val="28"/>
              <w:szCs w:val="24"/>
            </w:rPr>
            <w:fldChar w:fldCharType="end"/>
          </w:r>
        </w:p>
        <w:p w14:paraId="2BEC23D4">
          <w:pPr>
            <w:pStyle w:val="10"/>
            <w:tabs>
              <w:tab w:val="right" w:leader="dot" w:pos="8250"/>
            </w:tabs>
            <w:rPr>
              <w:sz w:val="28"/>
              <w:szCs w:val="24"/>
            </w:rPr>
          </w:pPr>
          <w:r>
            <w:rPr>
              <w:sz w:val="28"/>
              <w:szCs w:val="24"/>
            </w:rPr>
            <w:fldChar w:fldCharType="begin"/>
          </w:r>
          <w:r>
            <w:rPr>
              <w:sz w:val="28"/>
              <w:szCs w:val="24"/>
            </w:rPr>
            <w:instrText xml:space="preserve"> HYPERLINK \l _Toc18835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_Toc18835 \h </w:instrText>
          </w:r>
          <w:r>
            <w:rPr>
              <w:sz w:val="28"/>
              <w:szCs w:val="24"/>
            </w:rPr>
            <w:fldChar w:fldCharType="separate"/>
          </w:r>
          <w:r>
            <w:rPr>
              <w:sz w:val="28"/>
              <w:szCs w:val="24"/>
            </w:rPr>
            <w:t>4</w:t>
          </w:r>
          <w:r>
            <w:rPr>
              <w:sz w:val="28"/>
              <w:szCs w:val="24"/>
            </w:rPr>
            <w:fldChar w:fldCharType="end"/>
          </w:r>
          <w:r>
            <w:rPr>
              <w:sz w:val="28"/>
              <w:szCs w:val="24"/>
            </w:rPr>
            <w:fldChar w:fldCharType="end"/>
          </w:r>
        </w:p>
        <w:p w14:paraId="43144C23">
          <w:pPr>
            <w:pStyle w:val="10"/>
            <w:tabs>
              <w:tab w:val="right" w:leader="dot" w:pos="8250"/>
            </w:tabs>
            <w:rPr>
              <w:sz w:val="28"/>
              <w:szCs w:val="24"/>
            </w:rPr>
          </w:pPr>
          <w:r>
            <w:rPr>
              <w:sz w:val="28"/>
              <w:szCs w:val="24"/>
            </w:rPr>
            <w:fldChar w:fldCharType="begin"/>
          </w:r>
          <w:r>
            <w:rPr>
              <w:sz w:val="28"/>
              <w:szCs w:val="24"/>
            </w:rPr>
            <w:instrText xml:space="preserve"> HYPERLINK \l _Toc23513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_Toc23513 \h </w:instrText>
          </w:r>
          <w:r>
            <w:rPr>
              <w:sz w:val="28"/>
              <w:szCs w:val="24"/>
            </w:rPr>
            <w:fldChar w:fldCharType="separate"/>
          </w:r>
          <w:r>
            <w:rPr>
              <w:sz w:val="28"/>
              <w:szCs w:val="24"/>
            </w:rPr>
            <w:t>7</w:t>
          </w:r>
          <w:r>
            <w:rPr>
              <w:sz w:val="28"/>
              <w:szCs w:val="24"/>
            </w:rPr>
            <w:fldChar w:fldCharType="end"/>
          </w:r>
          <w:r>
            <w:rPr>
              <w:sz w:val="28"/>
              <w:szCs w:val="24"/>
            </w:rPr>
            <w:fldChar w:fldCharType="end"/>
          </w:r>
        </w:p>
        <w:p w14:paraId="1F7753F8">
          <w:pPr>
            <w:pStyle w:val="9"/>
            <w:tabs>
              <w:tab w:val="right" w:leader="dot" w:pos="8250"/>
            </w:tabs>
            <w:rPr>
              <w:sz w:val="28"/>
              <w:szCs w:val="24"/>
            </w:rPr>
          </w:pPr>
          <w:r>
            <w:rPr>
              <w:sz w:val="28"/>
              <w:szCs w:val="24"/>
            </w:rPr>
            <w:fldChar w:fldCharType="begin"/>
          </w:r>
          <w:r>
            <w:rPr>
              <w:sz w:val="28"/>
              <w:szCs w:val="24"/>
            </w:rPr>
            <w:instrText xml:space="preserve"> HYPERLINK \l _Toc30649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_Toc30649 \h </w:instrText>
          </w:r>
          <w:r>
            <w:rPr>
              <w:sz w:val="28"/>
              <w:szCs w:val="24"/>
            </w:rPr>
            <w:fldChar w:fldCharType="separate"/>
          </w:r>
          <w:r>
            <w:rPr>
              <w:sz w:val="28"/>
              <w:szCs w:val="24"/>
            </w:rPr>
            <w:t>10</w:t>
          </w:r>
          <w:r>
            <w:rPr>
              <w:sz w:val="28"/>
              <w:szCs w:val="24"/>
            </w:rPr>
            <w:fldChar w:fldCharType="end"/>
          </w:r>
          <w:r>
            <w:rPr>
              <w:sz w:val="28"/>
              <w:szCs w:val="24"/>
            </w:rPr>
            <w:fldChar w:fldCharType="end"/>
          </w:r>
        </w:p>
        <w:p w14:paraId="77C35F40">
          <w:pPr>
            <w:pStyle w:val="9"/>
            <w:tabs>
              <w:tab w:val="right" w:leader="dot" w:pos="8250"/>
            </w:tabs>
            <w:rPr>
              <w:sz w:val="28"/>
              <w:szCs w:val="24"/>
            </w:rPr>
          </w:pPr>
          <w:r>
            <w:rPr>
              <w:sz w:val="28"/>
              <w:szCs w:val="24"/>
            </w:rPr>
            <w:fldChar w:fldCharType="begin"/>
          </w:r>
          <w:r>
            <w:rPr>
              <w:sz w:val="28"/>
              <w:szCs w:val="24"/>
            </w:rPr>
            <w:instrText xml:space="preserve"> HYPERLINK \l _Toc32371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_Toc32371 \h </w:instrText>
          </w:r>
          <w:r>
            <w:rPr>
              <w:sz w:val="28"/>
              <w:szCs w:val="24"/>
            </w:rPr>
            <w:fldChar w:fldCharType="separate"/>
          </w:r>
          <w:r>
            <w:rPr>
              <w:sz w:val="28"/>
              <w:szCs w:val="24"/>
            </w:rPr>
            <w:t>10</w:t>
          </w:r>
          <w:r>
            <w:rPr>
              <w:sz w:val="28"/>
              <w:szCs w:val="24"/>
            </w:rPr>
            <w:fldChar w:fldCharType="end"/>
          </w:r>
          <w:r>
            <w:rPr>
              <w:sz w:val="28"/>
              <w:szCs w:val="24"/>
            </w:rPr>
            <w:fldChar w:fldCharType="end"/>
          </w:r>
        </w:p>
        <w:p w14:paraId="2540D76D">
          <w:pPr>
            <w:pStyle w:val="10"/>
            <w:tabs>
              <w:tab w:val="right" w:leader="dot" w:pos="8250"/>
            </w:tabs>
            <w:rPr>
              <w:sz w:val="28"/>
              <w:szCs w:val="24"/>
            </w:rPr>
          </w:pPr>
          <w:r>
            <w:rPr>
              <w:sz w:val="28"/>
              <w:szCs w:val="24"/>
            </w:rPr>
            <w:fldChar w:fldCharType="begin"/>
          </w:r>
          <w:r>
            <w:rPr>
              <w:sz w:val="28"/>
              <w:szCs w:val="24"/>
            </w:rPr>
            <w:instrText xml:space="preserve"> HYPERLINK \l _Toc9189 </w:instrText>
          </w:r>
          <w:r>
            <w:rPr>
              <w:sz w:val="28"/>
              <w:szCs w:val="24"/>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_Toc9189 \h </w:instrText>
          </w:r>
          <w:r>
            <w:rPr>
              <w:sz w:val="28"/>
              <w:szCs w:val="24"/>
            </w:rPr>
            <w:fldChar w:fldCharType="separate"/>
          </w:r>
          <w:r>
            <w:rPr>
              <w:sz w:val="28"/>
              <w:szCs w:val="24"/>
            </w:rPr>
            <w:t>10</w:t>
          </w:r>
          <w:r>
            <w:rPr>
              <w:sz w:val="28"/>
              <w:szCs w:val="24"/>
            </w:rPr>
            <w:fldChar w:fldCharType="end"/>
          </w:r>
          <w:r>
            <w:rPr>
              <w:sz w:val="28"/>
              <w:szCs w:val="24"/>
            </w:rPr>
            <w:fldChar w:fldCharType="end"/>
          </w:r>
        </w:p>
        <w:p w14:paraId="525FC3BD">
          <w:pPr>
            <w:pStyle w:val="10"/>
            <w:tabs>
              <w:tab w:val="right" w:leader="dot" w:pos="8250"/>
            </w:tabs>
            <w:rPr>
              <w:sz w:val="28"/>
              <w:szCs w:val="24"/>
            </w:rPr>
          </w:pPr>
          <w:r>
            <w:rPr>
              <w:sz w:val="28"/>
              <w:szCs w:val="24"/>
            </w:rPr>
            <w:fldChar w:fldCharType="begin"/>
          </w:r>
          <w:r>
            <w:rPr>
              <w:sz w:val="28"/>
              <w:szCs w:val="24"/>
            </w:rPr>
            <w:instrText xml:space="preserve"> HYPERLINK \l _Toc27804 </w:instrText>
          </w:r>
          <w:r>
            <w:rPr>
              <w:sz w:val="28"/>
              <w:szCs w:val="24"/>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_Toc27804 \h </w:instrText>
          </w:r>
          <w:r>
            <w:rPr>
              <w:sz w:val="28"/>
              <w:szCs w:val="24"/>
            </w:rPr>
            <w:fldChar w:fldCharType="separate"/>
          </w:r>
          <w:r>
            <w:rPr>
              <w:sz w:val="28"/>
              <w:szCs w:val="24"/>
            </w:rPr>
            <w:t>12</w:t>
          </w:r>
          <w:r>
            <w:rPr>
              <w:sz w:val="28"/>
              <w:szCs w:val="24"/>
            </w:rPr>
            <w:fldChar w:fldCharType="end"/>
          </w:r>
          <w:r>
            <w:rPr>
              <w:sz w:val="28"/>
              <w:szCs w:val="24"/>
            </w:rPr>
            <w:fldChar w:fldCharType="end"/>
          </w:r>
        </w:p>
        <w:p w14:paraId="3A908162">
          <w:pPr>
            <w:pStyle w:val="10"/>
            <w:tabs>
              <w:tab w:val="right" w:leader="dot" w:pos="8250"/>
            </w:tabs>
            <w:rPr>
              <w:sz w:val="28"/>
              <w:szCs w:val="24"/>
            </w:rPr>
          </w:pPr>
          <w:r>
            <w:rPr>
              <w:sz w:val="28"/>
              <w:szCs w:val="24"/>
            </w:rPr>
            <w:fldChar w:fldCharType="begin"/>
          </w:r>
          <w:r>
            <w:rPr>
              <w:sz w:val="28"/>
              <w:szCs w:val="24"/>
            </w:rPr>
            <w:instrText xml:space="preserve"> HYPERLINK \l _Toc30079 </w:instrText>
          </w:r>
          <w:r>
            <w:rPr>
              <w:sz w:val="28"/>
              <w:szCs w:val="24"/>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_Toc30079 \h </w:instrText>
          </w:r>
          <w:r>
            <w:rPr>
              <w:sz w:val="28"/>
              <w:szCs w:val="24"/>
            </w:rPr>
            <w:fldChar w:fldCharType="separate"/>
          </w:r>
          <w:r>
            <w:rPr>
              <w:sz w:val="28"/>
              <w:szCs w:val="24"/>
            </w:rPr>
            <w:t>15</w:t>
          </w:r>
          <w:r>
            <w:rPr>
              <w:sz w:val="28"/>
              <w:szCs w:val="24"/>
            </w:rPr>
            <w:fldChar w:fldCharType="end"/>
          </w:r>
          <w:r>
            <w:rPr>
              <w:sz w:val="28"/>
              <w:szCs w:val="24"/>
            </w:rPr>
            <w:fldChar w:fldCharType="end"/>
          </w:r>
        </w:p>
        <w:p w14:paraId="6844FCE8">
          <w:pPr>
            <w:pStyle w:val="10"/>
            <w:tabs>
              <w:tab w:val="right" w:leader="dot" w:pos="8250"/>
            </w:tabs>
            <w:rPr>
              <w:sz w:val="28"/>
              <w:szCs w:val="24"/>
            </w:rPr>
          </w:pPr>
          <w:r>
            <w:rPr>
              <w:sz w:val="28"/>
              <w:szCs w:val="24"/>
            </w:rPr>
            <w:fldChar w:fldCharType="begin"/>
          </w:r>
          <w:r>
            <w:rPr>
              <w:sz w:val="28"/>
              <w:szCs w:val="24"/>
            </w:rPr>
            <w:instrText xml:space="preserve"> HYPERLINK \l _Toc18226 </w:instrText>
          </w:r>
          <w:r>
            <w:rPr>
              <w:sz w:val="28"/>
              <w:szCs w:val="24"/>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_Toc18226 \h </w:instrText>
          </w:r>
          <w:r>
            <w:rPr>
              <w:sz w:val="28"/>
              <w:szCs w:val="24"/>
            </w:rPr>
            <w:fldChar w:fldCharType="separate"/>
          </w:r>
          <w:r>
            <w:rPr>
              <w:sz w:val="28"/>
              <w:szCs w:val="24"/>
            </w:rPr>
            <w:t>16</w:t>
          </w:r>
          <w:r>
            <w:rPr>
              <w:sz w:val="28"/>
              <w:szCs w:val="24"/>
            </w:rPr>
            <w:fldChar w:fldCharType="end"/>
          </w:r>
          <w:r>
            <w:rPr>
              <w:sz w:val="28"/>
              <w:szCs w:val="24"/>
            </w:rPr>
            <w:fldChar w:fldCharType="end"/>
          </w:r>
        </w:p>
        <w:p w14:paraId="06617692">
          <w:pPr>
            <w:pStyle w:val="9"/>
            <w:tabs>
              <w:tab w:val="right" w:leader="dot" w:pos="8250"/>
            </w:tabs>
            <w:rPr>
              <w:sz w:val="28"/>
              <w:szCs w:val="24"/>
            </w:rPr>
          </w:pPr>
          <w:r>
            <w:rPr>
              <w:sz w:val="28"/>
              <w:szCs w:val="24"/>
            </w:rPr>
            <w:fldChar w:fldCharType="begin"/>
          </w:r>
          <w:r>
            <w:rPr>
              <w:sz w:val="28"/>
              <w:szCs w:val="24"/>
            </w:rPr>
            <w:instrText xml:space="preserve"> HYPERLINK \l _Toc3253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_Toc3253 \h </w:instrText>
          </w:r>
          <w:r>
            <w:rPr>
              <w:sz w:val="28"/>
              <w:szCs w:val="24"/>
            </w:rPr>
            <w:fldChar w:fldCharType="separate"/>
          </w:r>
          <w:r>
            <w:rPr>
              <w:sz w:val="28"/>
              <w:szCs w:val="24"/>
            </w:rPr>
            <w:t>17</w:t>
          </w:r>
          <w:r>
            <w:rPr>
              <w:sz w:val="28"/>
              <w:szCs w:val="24"/>
            </w:rPr>
            <w:fldChar w:fldCharType="end"/>
          </w:r>
          <w:r>
            <w:rPr>
              <w:sz w:val="28"/>
              <w:szCs w:val="24"/>
            </w:rPr>
            <w:fldChar w:fldCharType="end"/>
          </w:r>
        </w:p>
        <w:p w14:paraId="69652E29">
          <w:pPr>
            <w:pStyle w:val="10"/>
            <w:tabs>
              <w:tab w:val="right" w:leader="dot" w:pos="8250"/>
            </w:tabs>
            <w:rPr>
              <w:sz w:val="28"/>
              <w:szCs w:val="24"/>
            </w:rPr>
          </w:pPr>
          <w:r>
            <w:rPr>
              <w:sz w:val="28"/>
              <w:szCs w:val="24"/>
            </w:rPr>
            <w:fldChar w:fldCharType="begin"/>
          </w:r>
          <w:r>
            <w:rPr>
              <w:sz w:val="28"/>
              <w:szCs w:val="24"/>
            </w:rPr>
            <w:instrText xml:space="preserve"> HYPERLINK \l _Toc19784 </w:instrText>
          </w:r>
          <w:r>
            <w:rPr>
              <w:sz w:val="28"/>
              <w:szCs w:val="24"/>
            </w:rPr>
            <w:fldChar w:fldCharType="separate"/>
          </w:r>
          <w:r>
            <w:rPr>
              <w:rFonts w:hint="eastAsia" w:ascii="楷体_GB2312" w:hAnsi="楷体_GB2312" w:eastAsia="楷体_GB2312" w:cs="楷体_GB2312"/>
              <w:bCs/>
              <w:kern w:val="0"/>
              <w:sz w:val="28"/>
              <w:szCs w:val="44"/>
            </w:rPr>
            <w:t>（一）项目</w:t>
          </w:r>
          <w:r>
            <w:rPr>
              <w:rFonts w:hint="eastAsia" w:ascii="楷体_GB2312" w:hAnsi="楷体_GB2312" w:eastAsia="楷体_GB2312" w:cs="楷体_GB2312"/>
              <w:bCs/>
              <w:kern w:val="0"/>
              <w:sz w:val="28"/>
              <w:szCs w:val="44"/>
              <w:lang w:val="en-US" w:eastAsia="zh-CN"/>
            </w:rPr>
            <w:t>单位未提供</w:t>
          </w:r>
          <w:r>
            <w:rPr>
              <w:rFonts w:hint="eastAsia" w:ascii="楷体_GB2312" w:hAnsi="楷体_GB2312" w:eastAsia="楷体_GB2312" w:cs="楷体_GB2312"/>
              <w:bCs/>
              <w:kern w:val="0"/>
              <w:sz w:val="28"/>
              <w:szCs w:val="44"/>
            </w:rPr>
            <w:t>绩效目标申报</w:t>
          </w:r>
          <w:r>
            <w:rPr>
              <w:rFonts w:hint="eastAsia" w:ascii="楷体_GB2312" w:hAnsi="楷体_GB2312" w:eastAsia="楷体_GB2312" w:cs="楷体_GB2312"/>
              <w:bCs/>
              <w:kern w:val="0"/>
              <w:sz w:val="28"/>
              <w:szCs w:val="44"/>
              <w:lang w:val="en-US" w:eastAsia="zh-CN"/>
            </w:rPr>
            <w:t>表</w:t>
          </w:r>
          <w:r>
            <w:rPr>
              <w:sz w:val="28"/>
              <w:szCs w:val="24"/>
            </w:rPr>
            <w:tab/>
          </w:r>
          <w:r>
            <w:rPr>
              <w:sz w:val="28"/>
              <w:szCs w:val="24"/>
            </w:rPr>
            <w:fldChar w:fldCharType="begin"/>
          </w:r>
          <w:r>
            <w:rPr>
              <w:sz w:val="28"/>
              <w:szCs w:val="24"/>
            </w:rPr>
            <w:instrText xml:space="preserve"> PAGEREF _Toc19784 \h </w:instrText>
          </w:r>
          <w:r>
            <w:rPr>
              <w:sz w:val="28"/>
              <w:szCs w:val="24"/>
            </w:rPr>
            <w:fldChar w:fldCharType="separate"/>
          </w:r>
          <w:r>
            <w:rPr>
              <w:sz w:val="28"/>
              <w:szCs w:val="24"/>
            </w:rPr>
            <w:t>17</w:t>
          </w:r>
          <w:r>
            <w:rPr>
              <w:sz w:val="28"/>
              <w:szCs w:val="24"/>
            </w:rPr>
            <w:fldChar w:fldCharType="end"/>
          </w:r>
          <w:r>
            <w:rPr>
              <w:sz w:val="28"/>
              <w:szCs w:val="24"/>
            </w:rPr>
            <w:fldChar w:fldCharType="end"/>
          </w:r>
        </w:p>
        <w:p w14:paraId="44F90309">
          <w:pPr>
            <w:pStyle w:val="10"/>
            <w:tabs>
              <w:tab w:val="right" w:leader="dot" w:pos="8250"/>
            </w:tabs>
            <w:rPr>
              <w:sz w:val="28"/>
              <w:szCs w:val="24"/>
            </w:rPr>
          </w:pPr>
          <w:r>
            <w:rPr>
              <w:sz w:val="28"/>
              <w:szCs w:val="24"/>
            </w:rPr>
            <w:fldChar w:fldCharType="begin"/>
          </w:r>
          <w:r>
            <w:rPr>
              <w:sz w:val="28"/>
              <w:szCs w:val="24"/>
            </w:rPr>
            <w:instrText xml:space="preserve"> HYPERLINK \l _Toc21864 </w:instrText>
          </w:r>
          <w:r>
            <w:rPr>
              <w:sz w:val="28"/>
              <w:szCs w:val="24"/>
            </w:rPr>
            <w:fldChar w:fldCharType="separate"/>
          </w:r>
          <w:r>
            <w:rPr>
              <w:rFonts w:hint="eastAsia" w:ascii="楷体_GB2312" w:hAnsi="楷体_GB2312" w:eastAsia="楷体_GB2312" w:cs="楷体_GB2312"/>
              <w:bCs/>
              <w:kern w:val="0"/>
              <w:sz w:val="28"/>
              <w:szCs w:val="44"/>
            </w:rPr>
            <w:t>（二）项目单位未制定业务管理制度</w:t>
          </w:r>
          <w:r>
            <w:rPr>
              <w:sz w:val="28"/>
              <w:szCs w:val="24"/>
            </w:rPr>
            <w:tab/>
          </w:r>
          <w:r>
            <w:rPr>
              <w:sz w:val="28"/>
              <w:szCs w:val="24"/>
            </w:rPr>
            <w:fldChar w:fldCharType="begin"/>
          </w:r>
          <w:r>
            <w:rPr>
              <w:sz w:val="28"/>
              <w:szCs w:val="24"/>
            </w:rPr>
            <w:instrText xml:space="preserve"> PAGEREF _Toc21864 \h </w:instrText>
          </w:r>
          <w:r>
            <w:rPr>
              <w:sz w:val="28"/>
              <w:szCs w:val="24"/>
            </w:rPr>
            <w:fldChar w:fldCharType="separate"/>
          </w:r>
          <w:r>
            <w:rPr>
              <w:sz w:val="28"/>
              <w:szCs w:val="24"/>
            </w:rPr>
            <w:t>17</w:t>
          </w:r>
          <w:r>
            <w:rPr>
              <w:sz w:val="28"/>
              <w:szCs w:val="24"/>
            </w:rPr>
            <w:fldChar w:fldCharType="end"/>
          </w:r>
          <w:r>
            <w:rPr>
              <w:sz w:val="28"/>
              <w:szCs w:val="24"/>
            </w:rPr>
            <w:fldChar w:fldCharType="end"/>
          </w:r>
        </w:p>
        <w:p w14:paraId="417DEC4A">
          <w:pPr>
            <w:pStyle w:val="9"/>
            <w:tabs>
              <w:tab w:val="right" w:leader="dot" w:pos="8250"/>
            </w:tabs>
            <w:rPr>
              <w:sz w:val="28"/>
              <w:szCs w:val="24"/>
            </w:rPr>
          </w:pPr>
          <w:r>
            <w:rPr>
              <w:sz w:val="28"/>
              <w:szCs w:val="24"/>
            </w:rPr>
            <w:fldChar w:fldCharType="begin"/>
          </w:r>
          <w:r>
            <w:rPr>
              <w:sz w:val="28"/>
              <w:szCs w:val="24"/>
            </w:rPr>
            <w:instrText xml:space="preserve"> HYPERLINK \l _Toc10226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_Toc10226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CEE35C7">
          <w:pPr>
            <w:pStyle w:val="10"/>
            <w:tabs>
              <w:tab w:val="right" w:leader="dot" w:pos="8250"/>
            </w:tabs>
            <w:rPr>
              <w:sz w:val="28"/>
              <w:szCs w:val="24"/>
            </w:rPr>
          </w:pPr>
          <w:r>
            <w:rPr>
              <w:sz w:val="28"/>
              <w:szCs w:val="24"/>
            </w:rPr>
            <w:fldChar w:fldCharType="begin"/>
          </w:r>
          <w:r>
            <w:rPr>
              <w:sz w:val="28"/>
              <w:szCs w:val="24"/>
            </w:rPr>
            <w:instrText xml:space="preserve"> HYPERLINK \l _Toc22086 </w:instrText>
          </w:r>
          <w:r>
            <w:rPr>
              <w:sz w:val="28"/>
              <w:szCs w:val="24"/>
            </w:rPr>
            <w:fldChar w:fldCharType="separate"/>
          </w:r>
          <w:r>
            <w:rPr>
              <w:rFonts w:hint="eastAsia" w:ascii="楷体_GB2312" w:hAnsi="楷体_GB2312" w:eastAsia="楷体_GB2312" w:cs="楷体_GB2312"/>
              <w:bCs/>
              <w:kern w:val="0"/>
              <w:sz w:val="28"/>
              <w:szCs w:val="44"/>
            </w:rPr>
            <w:t>（一）设置项目的绩效目标及指标</w:t>
          </w:r>
          <w:r>
            <w:rPr>
              <w:sz w:val="28"/>
              <w:szCs w:val="24"/>
            </w:rPr>
            <w:tab/>
          </w:r>
          <w:r>
            <w:rPr>
              <w:sz w:val="28"/>
              <w:szCs w:val="24"/>
            </w:rPr>
            <w:fldChar w:fldCharType="begin"/>
          </w:r>
          <w:r>
            <w:rPr>
              <w:sz w:val="28"/>
              <w:szCs w:val="24"/>
            </w:rPr>
            <w:instrText xml:space="preserve"> PAGEREF _Toc22086 \h </w:instrText>
          </w:r>
          <w:r>
            <w:rPr>
              <w:sz w:val="28"/>
              <w:szCs w:val="24"/>
            </w:rPr>
            <w:fldChar w:fldCharType="separate"/>
          </w:r>
          <w:r>
            <w:rPr>
              <w:sz w:val="28"/>
              <w:szCs w:val="24"/>
            </w:rPr>
            <w:t>17</w:t>
          </w:r>
          <w:r>
            <w:rPr>
              <w:sz w:val="28"/>
              <w:szCs w:val="24"/>
            </w:rPr>
            <w:fldChar w:fldCharType="end"/>
          </w:r>
          <w:r>
            <w:rPr>
              <w:sz w:val="28"/>
              <w:szCs w:val="24"/>
            </w:rPr>
            <w:fldChar w:fldCharType="end"/>
          </w:r>
        </w:p>
        <w:p w14:paraId="5356C8B2">
          <w:pPr>
            <w:pStyle w:val="10"/>
            <w:tabs>
              <w:tab w:val="right" w:leader="dot" w:pos="8250"/>
            </w:tabs>
            <w:rPr>
              <w:sz w:val="28"/>
              <w:szCs w:val="24"/>
            </w:rPr>
          </w:pPr>
          <w:r>
            <w:rPr>
              <w:sz w:val="28"/>
              <w:szCs w:val="24"/>
            </w:rPr>
            <w:fldChar w:fldCharType="begin"/>
          </w:r>
          <w:r>
            <w:rPr>
              <w:sz w:val="28"/>
              <w:szCs w:val="24"/>
            </w:rPr>
            <w:instrText xml:space="preserve"> HYPERLINK \l _Toc25955 </w:instrText>
          </w:r>
          <w:r>
            <w:rPr>
              <w:sz w:val="28"/>
              <w:szCs w:val="24"/>
            </w:rPr>
            <w:fldChar w:fldCharType="separate"/>
          </w:r>
          <w:r>
            <w:rPr>
              <w:rFonts w:hint="eastAsia" w:ascii="楷体_GB2312" w:hAnsi="楷体_GB2312" w:eastAsia="楷体_GB2312" w:cs="楷体_GB2312"/>
              <w:bCs/>
              <w:kern w:val="0"/>
              <w:sz w:val="28"/>
              <w:szCs w:val="44"/>
            </w:rPr>
            <w:t>（二）制定业务管理制度，加强绩效管理</w:t>
          </w:r>
          <w:r>
            <w:rPr>
              <w:sz w:val="28"/>
              <w:szCs w:val="24"/>
            </w:rPr>
            <w:tab/>
          </w:r>
          <w:r>
            <w:rPr>
              <w:sz w:val="28"/>
              <w:szCs w:val="24"/>
            </w:rPr>
            <w:fldChar w:fldCharType="begin"/>
          </w:r>
          <w:r>
            <w:rPr>
              <w:sz w:val="28"/>
              <w:szCs w:val="24"/>
            </w:rPr>
            <w:instrText xml:space="preserve"> PAGEREF _Toc25955 \h </w:instrText>
          </w:r>
          <w:r>
            <w:rPr>
              <w:sz w:val="28"/>
              <w:szCs w:val="24"/>
            </w:rPr>
            <w:fldChar w:fldCharType="separate"/>
          </w:r>
          <w:r>
            <w:rPr>
              <w:sz w:val="28"/>
              <w:szCs w:val="24"/>
            </w:rPr>
            <w:t>18</w:t>
          </w:r>
          <w:r>
            <w:rPr>
              <w:sz w:val="28"/>
              <w:szCs w:val="24"/>
            </w:rPr>
            <w:fldChar w:fldCharType="end"/>
          </w:r>
          <w:r>
            <w:rPr>
              <w:sz w:val="28"/>
              <w:szCs w:val="24"/>
            </w:rPr>
            <w:fldChar w:fldCharType="end"/>
          </w:r>
        </w:p>
        <w:p w14:paraId="1905A2B9">
          <w:pPr>
            <w:pStyle w:val="9"/>
            <w:tabs>
              <w:tab w:val="right" w:leader="dot" w:pos="8250"/>
            </w:tabs>
            <w:rPr>
              <w:sz w:val="28"/>
              <w:szCs w:val="24"/>
            </w:rPr>
          </w:pPr>
          <w:r>
            <w:rPr>
              <w:sz w:val="28"/>
              <w:szCs w:val="24"/>
            </w:rPr>
            <w:fldChar w:fldCharType="begin"/>
          </w:r>
          <w:r>
            <w:rPr>
              <w:sz w:val="28"/>
              <w:szCs w:val="24"/>
            </w:rPr>
            <w:instrText xml:space="preserve"> HYPERLINK \l _Toc1521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_Toc1521 \h </w:instrText>
          </w:r>
          <w:r>
            <w:rPr>
              <w:sz w:val="28"/>
              <w:szCs w:val="24"/>
            </w:rPr>
            <w:fldChar w:fldCharType="separate"/>
          </w:r>
          <w:r>
            <w:rPr>
              <w:sz w:val="28"/>
              <w:szCs w:val="24"/>
            </w:rPr>
            <w:t>18</w:t>
          </w:r>
          <w:r>
            <w:rPr>
              <w:sz w:val="28"/>
              <w:szCs w:val="24"/>
            </w:rPr>
            <w:fldChar w:fldCharType="end"/>
          </w:r>
          <w:r>
            <w:rPr>
              <w:sz w:val="28"/>
              <w:szCs w:val="24"/>
            </w:rPr>
            <w:fldChar w:fldCharType="end"/>
          </w:r>
        </w:p>
        <w:p w14:paraId="4414EB94">
          <w:pPr>
            <w:jc w:val="center"/>
          </w:pPr>
          <w:r>
            <w:rPr>
              <w:b/>
            </w:rPr>
            <w:fldChar w:fldCharType="end"/>
          </w:r>
          <w:bookmarkStart w:id="3" w:name="_Toc7428"/>
        </w:p>
      </w:sdtContent>
    </w:sdt>
    <w:p w14:paraId="0522992F">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18801"/>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30227567">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确保应急广播系统安全可靠运行，有效发挥应急广播在应对突发自然灾害、公共卫生与安全等事件中的作用，陕西省广播电视局、陕西省应急管理厅制定了《陕西省应急广播运行管理暂行办法》，对应急广播信息发布、运行管理及其他相关活动进行了规范。扶风县政府于2023年9月14日制订并发布《扶风县广播电视基本公共服务标准化试点建设工作实施方案》，实施广播电视基本公共服务标准化试点建设工作。为了全面提升扶风县城乡居民获取应急事件信息和救助能力，打通广播宣传</w:t>
      </w:r>
      <w:r>
        <w:rPr>
          <w:rFonts w:hint="eastAsia" w:ascii="仿宋" w:hAnsi="仿宋" w:eastAsia="仿宋" w:cs="仿宋"/>
          <w:kern w:val="0"/>
          <w:sz w:val="32"/>
          <w:szCs w:val="32"/>
          <w:lang w:eastAsia="zh-CN"/>
        </w:rPr>
        <w:t>“最后一公里”</w:t>
      </w:r>
      <w:r>
        <w:rPr>
          <w:rFonts w:hint="eastAsia" w:ascii="仿宋" w:hAnsi="仿宋" w:eastAsia="仿宋" w:cs="仿宋"/>
          <w:kern w:val="0"/>
          <w:sz w:val="32"/>
          <w:szCs w:val="32"/>
        </w:rPr>
        <w:t>，促进扶风县域经济社会发展，扶风县人民政府于2021年4月2日召开政府常务会议确定，由扶风县文旅局负责，各镇街配合，组织实施好应急广播建设项目，扶风县财政局对应急广播建设一期项目所需的县级配套资金和运行维护费用予以列支。项目主管部门为扶风县文化和旅游局，由扶风县文化和旅游局实施。项目预算资金132.18万元，项目到位资金132.18万元，项目资金支付132.18万元，项目结余资金</w:t>
      </w:r>
      <w:r>
        <w:rPr>
          <w:rFonts w:hint="eastAsia" w:ascii="仿宋" w:hAnsi="仿宋" w:eastAsia="仿宋" w:cs="仿宋"/>
          <w:kern w:val="0"/>
          <w:sz w:val="32"/>
          <w:szCs w:val="32"/>
          <w:lang w:val="en-US" w:eastAsia="zh-CN"/>
        </w:rPr>
        <w:t>0.00</w:t>
      </w:r>
      <w:r>
        <w:rPr>
          <w:rFonts w:hint="eastAsia" w:ascii="仿宋" w:hAnsi="仿宋" w:eastAsia="仿宋" w:cs="仿宋"/>
          <w:kern w:val="0"/>
          <w:sz w:val="32"/>
          <w:szCs w:val="32"/>
        </w:rPr>
        <w:t>万元。</w:t>
      </w:r>
    </w:p>
    <w:p w14:paraId="3ACBCAD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按照确定的评分细则，对各项指标逐一评价打分，应急广播建设县级补助及运维费绩效评价得分为92.0分，评价结果等级为“优”。</w:t>
      </w:r>
    </w:p>
    <w:p w14:paraId="43B002B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存在的问题：①项目没有设置具体的绩效目标及指标；②项目单位未制定业务管理制度。</w:t>
      </w:r>
    </w:p>
    <w:p w14:paraId="1B391159">
      <w:pPr>
        <w:spacing w:line="600" w:lineRule="exact"/>
        <w:ind w:firstLine="640" w:firstLineChars="200"/>
        <w:rPr>
          <w:rFonts w:ascii="仿宋" w:hAnsi="仿宋" w:eastAsia="仿宋" w:cs="仿宋"/>
          <w:kern w:val="0"/>
          <w:sz w:val="32"/>
          <w:szCs w:val="32"/>
        </w:rPr>
        <w:sectPr>
          <w:footerReference r:id="rId4"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126C4F8F">
      <w:pPr>
        <w:spacing w:line="600" w:lineRule="exact"/>
        <w:ind w:firstLine="723"/>
        <w:jc w:val="center"/>
        <w:outlineLvl w:val="9"/>
        <w:rPr>
          <w:rFonts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应急广播建设县级补助及运维费</w:t>
      </w:r>
    </w:p>
    <w:p w14:paraId="5745DB79">
      <w:pPr>
        <w:spacing w:line="600" w:lineRule="exact"/>
        <w:ind w:firstLine="723"/>
        <w:jc w:val="center"/>
        <w:outlineLvl w:val="9"/>
        <w:rPr>
          <w:b/>
          <w:bCs/>
        </w:rPr>
      </w:pPr>
      <w:bookmarkStart w:id="5" w:name="_Toc3198"/>
      <w:bookmarkStart w:id="6" w:name="_Toc3207"/>
      <w:r>
        <w:rPr>
          <w:rFonts w:hint="eastAsia" w:ascii="方正小标宋_GBK" w:hAnsi="方正小标宋_GBK" w:eastAsia="方正小标宋_GBK" w:cs="方正小标宋_GBK"/>
          <w:b/>
          <w:bCs/>
          <w:kern w:val="2"/>
          <w:sz w:val="36"/>
          <w:szCs w:val="36"/>
        </w:rPr>
        <w:t>绩效评价报告</w:t>
      </w:r>
      <w:bookmarkEnd w:id="5"/>
      <w:bookmarkEnd w:id="6"/>
    </w:p>
    <w:p w14:paraId="6A4513AE">
      <w:pPr>
        <w:spacing w:line="600" w:lineRule="exact"/>
        <w:ind w:firstLine="643"/>
        <w:outlineLvl w:val="9"/>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，对应急广播建设县级补助及运维费进行绩效评价。现将评价情况报告如下：</w:t>
      </w:r>
    </w:p>
    <w:p w14:paraId="5046C371">
      <w:pPr>
        <w:spacing w:before="104" w:line="600" w:lineRule="exact"/>
        <w:ind w:firstLine="672"/>
        <w:outlineLvl w:val="0"/>
        <w:rPr>
          <w:rFonts w:ascii="黑体" w:hAnsi="黑体" w:eastAsia="黑体" w:cs="黑体"/>
          <w:spacing w:val="-2"/>
          <w:sz w:val="32"/>
          <w:szCs w:val="32"/>
        </w:rPr>
      </w:pPr>
      <w:bookmarkStart w:id="10" w:name="_Toc25122"/>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2D24FEBE">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2255"/>
      <w:bookmarkStart w:id="13" w:name="_Toc2001"/>
      <w:bookmarkStart w:id="14" w:name="_Toc24850"/>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2C9287A3">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2F5FA6D7">
      <w:pPr>
        <w:spacing w:line="600" w:lineRule="exact"/>
        <w:ind w:firstLine="640" w:firstLineChars="200"/>
      </w:pPr>
      <w:r>
        <w:rPr>
          <w:rFonts w:ascii="仿宋" w:hAnsi="仿宋" w:eastAsia="仿宋" w:cs="仿宋"/>
          <w:kern w:val="0"/>
          <w:sz w:val="32"/>
          <w:szCs w:val="32"/>
        </w:rPr>
        <w:t>为确保应急广播系统安全可靠运行，有效发挥应急广播在应对突发自然灾害、公共卫生与安全等事件中的作用，陕西省广播电视局、陕西省应急管理厅制定了《陕西省应急广播运行管理暂行办法》，对应急广播信息发布、运行管理及其他相关活动进行了规范。扶风县政府于2023年9月14日制订并发布《扶风县广播电视基本公共服务标准化试点建设工作实施方案》，实施广播电视基本公共服务标准化试点建设工作。为了全面提升扶风县城乡居民获取应急事件信息和救助能力，打通广播宣传</w:t>
      </w:r>
      <w:r>
        <w:rPr>
          <w:rFonts w:hint="eastAsia" w:ascii="仿宋" w:hAnsi="仿宋" w:eastAsia="仿宋" w:cs="仿宋"/>
          <w:kern w:val="0"/>
          <w:sz w:val="32"/>
          <w:szCs w:val="32"/>
          <w:lang w:eastAsia="zh-CN"/>
        </w:rPr>
        <w:t>“最后一公里”</w:t>
      </w:r>
      <w:r>
        <w:rPr>
          <w:rFonts w:ascii="仿宋" w:hAnsi="仿宋" w:eastAsia="仿宋" w:cs="仿宋"/>
          <w:kern w:val="0"/>
          <w:sz w:val="32"/>
          <w:szCs w:val="32"/>
        </w:rPr>
        <w:t>，促进扶风县域经济社会发展，扶风县人民政府于2021年4月2日召开政府常务会议确定，由扶风县文旅局负责，各镇街配合，组织实施好应急广播建设项目，扶风县财政局对应急广播建设一期项目所需的县级配套资金和运行维护</w:t>
      </w:r>
      <w:r>
        <w:rPr>
          <w:rFonts w:hint="eastAsia" w:ascii="仿宋" w:hAnsi="仿宋" w:eastAsia="仿宋" w:cs="仿宋"/>
          <w:kern w:val="0"/>
          <w:sz w:val="32"/>
          <w:szCs w:val="32"/>
          <w:lang w:val="en-US" w:eastAsia="zh-CN"/>
        </w:rPr>
        <w:t>阶段</w:t>
      </w:r>
      <w:r>
        <w:rPr>
          <w:rFonts w:ascii="仿宋" w:hAnsi="仿宋" w:eastAsia="仿宋" w:cs="仿宋"/>
          <w:kern w:val="0"/>
          <w:sz w:val="32"/>
          <w:szCs w:val="32"/>
        </w:rPr>
        <w:t>费用予以列支。</w:t>
      </w:r>
    </w:p>
    <w:p w14:paraId="0D796437">
      <w:pPr>
        <w:spacing w:line="600" w:lineRule="exact"/>
        <w:ind w:firstLine="643"/>
        <w:outlineLvl w:val="9"/>
        <w:rPr>
          <w:rFonts w:hint="eastAsia" w:ascii="仿宋" w:hAnsi="仿宋" w:cs="仿宋"/>
          <w:b/>
          <w:bCs/>
          <w:sz w:val="32"/>
          <w:szCs w:val="32"/>
        </w:rPr>
      </w:pPr>
      <w:bookmarkStart w:id="15" w:name="_Toc2902"/>
      <w:bookmarkStart w:id="16" w:name="_Toc30940"/>
      <w:bookmarkStart w:id="17" w:name="_Toc19838"/>
      <w:bookmarkStart w:id="18" w:name="_Toc5307_WPSOffice_Level2"/>
      <w:bookmarkStart w:id="19" w:name="_Toc24420"/>
      <w:bookmarkStart w:id="20" w:name="_Toc6691"/>
      <w:r>
        <w:rPr>
          <w:rFonts w:hint="eastAsia" w:ascii="仿宋" w:hAnsi="仿宋" w:cs="仿宋"/>
          <w:b/>
          <w:bCs/>
          <w:sz w:val="32"/>
          <w:szCs w:val="32"/>
        </w:rPr>
        <w:t>2.项目主要内容</w:t>
      </w:r>
    </w:p>
    <w:p w14:paraId="0E6F05D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计划在92个行政村（社区）及1个法门景区设立应急广播室和679个大喇叭终端点位；在全县城重点公共区域部署149个多模音柱；发布政法委综治中心应急广播前置系统；并建设标准化融媒体中心广播电台，配置直播、制作、播出设备。</w:t>
      </w:r>
    </w:p>
    <w:p w14:paraId="28A8FEB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39EBBE0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主要分为建设阶段、测试阶段和运行维护三个阶段。在项目建设阶段，扶风县文化和旅游局于2021年11月18日与宝鸡广电网络传媒有限公司签订扶风县应急广播建设项目（二期）合同，施工日期自2022年3月至2022年4月，于2023年4月8日完成验收；在项目测试阶段，扶风县文化和旅游局与国家广播电视总局广播电视科学研究院签订扶风县应急广播测试合同；在运行维护阶段，扶风县文化和旅游局于2022年12月1日与宝鸡广电网络传媒有限责任公司扶风支公司签订扶风县应急广播体系建设项目运行维护合同。</w:t>
      </w:r>
    </w:p>
    <w:p w14:paraId="048D71E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54026DF1">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扶风县财政局于2023年5月6日以《关于下达财政预算支出指标的通知》(扶财办预〔2023〕030号）文件，向扶风县文化和旅游局下达应急广播建设县级补助及运维费132.18万元。</w:t>
      </w:r>
    </w:p>
    <w:p w14:paraId="446B655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74A81F60">
      <w:pPr>
        <w:spacing w:line="600" w:lineRule="exact"/>
        <w:ind w:firstLine="640" w:firstLineChars="200"/>
      </w:pPr>
      <w:r>
        <w:rPr>
          <w:rFonts w:hint="eastAsia" w:ascii="仿宋" w:hAnsi="仿宋" w:eastAsia="仿宋" w:cs="仿宋"/>
          <w:kern w:val="0"/>
          <w:sz w:val="32"/>
          <w:szCs w:val="32"/>
        </w:rPr>
        <w:t>项目主要用于应急广播二期建设项目尾款17.7683万元、二期监理费0.76万元、广科院检测费3万元、应急广播二级等保建设备案</w:t>
      </w:r>
      <w:r>
        <w:rPr>
          <w:rFonts w:hint="eastAsia" w:ascii="仿宋" w:hAnsi="仿宋" w:eastAsia="仿宋" w:cs="仿宋"/>
          <w:kern w:val="0"/>
          <w:sz w:val="32"/>
          <w:szCs w:val="32"/>
          <w:lang w:val="en-US" w:eastAsia="zh-CN"/>
        </w:rPr>
        <w:t>费</w:t>
      </w:r>
      <w:r>
        <w:rPr>
          <w:rFonts w:hint="eastAsia" w:ascii="仿宋" w:hAnsi="仿宋" w:eastAsia="仿宋" w:cs="仿宋"/>
          <w:kern w:val="0"/>
          <w:sz w:val="32"/>
          <w:szCs w:val="32"/>
        </w:rPr>
        <w:t>17.63万元；2021年6月至2023年6月应急广播运行维护费93.02万元。共支付132.18万元。</w:t>
      </w:r>
    </w:p>
    <w:p w14:paraId="76F0E2FD">
      <w:pPr>
        <w:spacing w:line="600" w:lineRule="exact"/>
        <w:ind w:firstLine="643" w:firstLineChars="200"/>
        <w:outlineLvl w:val="1"/>
        <w:rPr>
          <w:rFonts w:ascii="楷体" w:hAnsi="楷体" w:eastAsia="楷体" w:cs="楷体"/>
          <w:b/>
          <w:bCs/>
          <w:kern w:val="0"/>
          <w:sz w:val="32"/>
          <w:szCs w:val="32"/>
        </w:rPr>
      </w:pPr>
      <w:bookmarkStart w:id="21" w:name="_Toc18294"/>
      <w:r>
        <w:rPr>
          <w:rFonts w:hint="eastAsia" w:ascii="楷体" w:hAnsi="楷体" w:eastAsia="楷体" w:cs="楷体"/>
          <w:b/>
          <w:bCs/>
          <w:kern w:val="0"/>
          <w:sz w:val="32"/>
          <w:szCs w:val="32"/>
        </w:rPr>
        <w:t>（二）项目绩效目标</w:t>
      </w:r>
      <w:bookmarkEnd w:id="15"/>
      <w:bookmarkEnd w:id="16"/>
      <w:bookmarkEnd w:id="17"/>
      <w:bookmarkEnd w:id="21"/>
    </w:p>
    <w:p w14:paraId="20B525A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1.项目总体目标</w:t>
      </w:r>
    </w:p>
    <w:p w14:paraId="76AC6B3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对</w:t>
      </w:r>
      <w:r>
        <w:rPr>
          <w:rFonts w:hint="eastAsia" w:ascii="仿宋" w:hAnsi="仿宋" w:eastAsia="仿宋" w:cs="仿宋"/>
          <w:kern w:val="0"/>
          <w:sz w:val="32"/>
          <w:szCs w:val="32"/>
        </w:rPr>
        <w:t>应急广播室和终端点位，部署多模音柱，发布政法委综治中心应急广播前置系统，建设标准化融媒体中心广播电台</w:t>
      </w:r>
      <w:r>
        <w:rPr>
          <w:rFonts w:hint="eastAsia" w:ascii="仿宋" w:hAnsi="仿宋" w:eastAsia="仿宋" w:cs="仿宋"/>
          <w:kern w:val="0"/>
          <w:sz w:val="32"/>
          <w:szCs w:val="32"/>
          <w:lang w:val="en-US" w:eastAsia="zh-CN"/>
        </w:rPr>
        <w:t>进行补助</w:t>
      </w:r>
      <w:r>
        <w:rPr>
          <w:rFonts w:hint="eastAsia" w:ascii="仿宋" w:hAnsi="仿宋" w:eastAsia="仿宋" w:cs="仿宋"/>
          <w:kern w:val="0"/>
          <w:sz w:val="32"/>
          <w:szCs w:val="32"/>
        </w:rPr>
        <w:t>，丰富群众精神生活，提高应急响应效率，促进信息普及和共享。</w:t>
      </w:r>
    </w:p>
    <w:p w14:paraId="5AB53CD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4AED9E8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2986982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数量指标。在92个行政村（社区）及1个法门景区设立应急广播室和679个大喇叭终端点位，在全县城重点公共区域部署149个多模音柱，发布政法委综治中心应急广播前置系统，建设标准化融媒体中心广播电台，配置直播、制作、播出设备。</w:t>
      </w:r>
    </w:p>
    <w:p w14:paraId="0867382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②质量指标。应急广播测试通过率目标100%、应急广播测试通过率目标100%。</w:t>
      </w:r>
    </w:p>
    <w:p w14:paraId="222C9DF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③时效指标。2023年度。</w:t>
      </w:r>
    </w:p>
    <w:p w14:paraId="179BC2B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p>
    <w:p w14:paraId="0856E6C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①社会效益。丰富群众精神生活，提高应急响应效率，促进信息普及和共享。</w:t>
      </w:r>
    </w:p>
    <w:p w14:paraId="3A5BCB2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②满意度。群众满意度≥98%。</w:t>
      </w:r>
      <w:bookmarkEnd w:id="18"/>
      <w:bookmarkEnd w:id="19"/>
      <w:bookmarkEnd w:id="20"/>
      <w:bookmarkStart w:id="22" w:name="_Toc25596"/>
      <w:bookmarkStart w:id="23" w:name="_Toc22895"/>
      <w:bookmarkStart w:id="24" w:name="_Toc29155_WPSOffice_Level1"/>
      <w:bookmarkStart w:id="25" w:name="_Toc16072"/>
      <w:bookmarkStart w:id="26" w:name="_Hlk2370114"/>
      <w:bookmarkStart w:id="27" w:name="_Toc28175_WPSOffice_Level1"/>
      <w:bookmarkStart w:id="28" w:name="_Toc3241_WPSOffice_Level1"/>
      <w:bookmarkStart w:id="29" w:name="_Toc21915"/>
      <w:bookmarkStart w:id="30" w:name="_Toc29537"/>
      <w:bookmarkStart w:id="31" w:name="_Toc8245_WPSOffice_Level1"/>
      <w:bookmarkStart w:id="32" w:name="_Toc18785"/>
      <w:bookmarkStart w:id="33" w:name="_Toc6828_WPSOffice_Level1"/>
      <w:bookmarkStart w:id="34" w:name="_Toc28206"/>
      <w:bookmarkStart w:id="35" w:name="_Toc6281_WPSOffice_Level1"/>
      <w:bookmarkStart w:id="36" w:name="_Toc751_WPSOffice_Level1"/>
      <w:bookmarkStart w:id="37" w:name="_Toc29074"/>
      <w:bookmarkStart w:id="38" w:name="_Toc11420_WPSOffice_Level1"/>
    </w:p>
    <w:p w14:paraId="11EE2709">
      <w:pPr>
        <w:spacing w:before="104" w:line="600" w:lineRule="exact"/>
        <w:ind w:firstLine="672"/>
        <w:outlineLvl w:val="0"/>
        <w:rPr>
          <w:rFonts w:ascii="黑体" w:hAnsi="黑体" w:eastAsia="黑体" w:cs="黑体"/>
          <w:spacing w:val="-2"/>
          <w:sz w:val="32"/>
          <w:szCs w:val="32"/>
        </w:rPr>
      </w:pPr>
      <w:bookmarkStart w:id="39" w:name="_Toc13984"/>
      <w:r>
        <w:rPr>
          <w:rFonts w:hint="eastAsia" w:ascii="黑体" w:hAnsi="黑体" w:eastAsia="黑体" w:cs="黑体"/>
          <w:spacing w:val="-2"/>
          <w:sz w:val="32"/>
          <w:szCs w:val="32"/>
        </w:rPr>
        <w:t>二、绩效评价工作开展情况</w:t>
      </w:r>
      <w:bookmarkEnd w:id="22"/>
      <w:bookmarkEnd w:id="23"/>
      <w:bookmarkEnd w:id="39"/>
      <w:bookmarkStart w:id="40" w:name="_Toc30013"/>
      <w:bookmarkStart w:id="41" w:name="_Toc4270"/>
      <w:bookmarkStart w:id="42" w:name="_Toc1319"/>
      <w:bookmarkStart w:id="43" w:name="_Toc1360"/>
    </w:p>
    <w:p w14:paraId="159B1292">
      <w:pPr>
        <w:spacing w:before="104" w:line="600" w:lineRule="exact"/>
        <w:ind w:firstLine="672"/>
        <w:outlineLvl w:val="1"/>
      </w:pPr>
      <w:bookmarkStart w:id="44" w:name="_Toc24135"/>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7EA6B3A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应急广播建设县级补助及运维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53DF2AD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5B8A77CB">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8097"/>
      <w:bookmarkStart w:id="47" w:name="_Toc14910"/>
      <w:bookmarkStart w:id="48" w:name="_Toc18835"/>
      <w:bookmarkStart w:id="49" w:name="_Toc2196"/>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7A71FFF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30E1FB7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209284D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01B3619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61F514C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44C4233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3CB5445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1142FF8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19CA409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有关</w:t>
      </w:r>
      <w:r>
        <w:rPr>
          <w:rFonts w:hint="eastAsia" w:ascii="仿宋" w:hAnsi="仿宋" w:eastAsia="仿宋" w:cs="仿宋"/>
          <w:kern w:val="0"/>
          <w:sz w:val="32"/>
          <w:szCs w:val="32"/>
        </w:rPr>
        <w:t xml:space="preserve">部门，作为有关部门以后年度安排项目预算、加强项目管理等工作的重要依据。 </w:t>
      </w:r>
    </w:p>
    <w:p w14:paraId="4664B13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41A74D8A">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7CB840D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14CC468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2010B2F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19190053">
      <w:pPr>
        <w:spacing w:line="600" w:lineRule="exact"/>
        <w:ind w:firstLine="640" w:firstLineChars="200"/>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应急广播建设县级补助及运维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06F020AA">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）成本效益分析法。是指将投入与产出、效益进行关联性分析的方法。</w:t>
      </w:r>
    </w:p>
    <w:p w14:paraId="6D055A8C">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49A2A59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7F1E7C77">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78EC2DF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26BC9E8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69A4A8C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3604912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6CCD0FD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18E4F510">
      <w:pPr>
        <w:spacing w:line="600" w:lineRule="exact"/>
        <w:ind w:firstLine="643" w:firstLineChars="200"/>
        <w:outlineLvl w:val="1"/>
        <w:rPr>
          <w:rFonts w:ascii="楷体" w:hAnsi="楷体" w:eastAsia="楷体" w:cs="楷体"/>
          <w:b/>
          <w:bCs/>
          <w:kern w:val="0"/>
          <w:sz w:val="32"/>
          <w:szCs w:val="32"/>
        </w:rPr>
      </w:pPr>
      <w:bookmarkStart w:id="53" w:name="_Toc17254"/>
      <w:bookmarkStart w:id="54" w:name="_Toc23513"/>
      <w:bookmarkStart w:id="55" w:name="_Toc23298"/>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403773B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4437ED7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2EB8043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2B0B191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0D7048C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16C06EE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3AF72BF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48DF7DA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65BC470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125830F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1C95123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29F30E9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7E859861">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highlight w:val="none"/>
        </w:rPr>
        <w:t>意见。</w:t>
      </w:r>
    </w:p>
    <w:p w14:paraId="1B261E1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56F8AEC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044472A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绩效评价结束后，由评价小组会同聘请专家提出整改建议，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0CB8ECBA">
      <w:pPr>
        <w:spacing w:before="104" w:line="600" w:lineRule="exact"/>
        <w:ind w:firstLine="672"/>
        <w:outlineLvl w:val="0"/>
        <w:rPr>
          <w:rFonts w:ascii="黑体" w:hAnsi="黑体" w:eastAsia="黑体" w:cs="黑体"/>
          <w:spacing w:val="-2"/>
          <w:sz w:val="32"/>
          <w:szCs w:val="32"/>
        </w:rPr>
      </w:pPr>
      <w:bookmarkStart w:id="58" w:name="_Toc30649"/>
      <w:r>
        <w:rPr>
          <w:rFonts w:hint="eastAsia" w:ascii="黑体" w:hAnsi="黑体" w:eastAsia="黑体" w:cs="黑体"/>
          <w:spacing w:val="-2"/>
          <w:sz w:val="32"/>
          <w:szCs w:val="32"/>
        </w:rPr>
        <w:t>三、综合评价情况及评价结论</w:t>
      </w:r>
      <w:bookmarkEnd w:id="56"/>
      <w:bookmarkEnd w:id="58"/>
    </w:p>
    <w:p w14:paraId="23B23CE9">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按照确定的评分细则，通过对各项指标逐一评价打分，应急广播建设县级补助及运维费绩效评价得分为92.0分，评价结果等级为“优”，评分情况详见下表。</w:t>
      </w:r>
    </w:p>
    <w:p w14:paraId="4BD26AC8">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7D6E540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07B3B4C9">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15F79EA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0F643AF0">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2E09F3D3">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3A6E4DFC">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129D4D11">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2338B46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DACF34A">
            <w:pPr>
              <w:jc w:val="center"/>
            </w:pPr>
            <w:r>
              <w:rPr>
                <w:rFonts w:ascii="仿宋" w:hAnsi="仿宋" w:eastAsia="仿宋" w:cs="仿宋"/>
                <w:b w:val="0"/>
                <w:sz w:val="32"/>
              </w:rPr>
              <w:t>决策指标</w:t>
            </w:r>
          </w:p>
        </w:tc>
        <w:tc>
          <w:p w14:paraId="2E22BBF1">
            <w:pPr>
              <w:jc w:val="center"/>
            </w:pPr>
            <w:r>
              <w:rPr>
                <w:rFonts w:ascii="仿宋" w:hAnsi="仿宋" w:eastAsia="仿宋" w:cs="仿宋"/>
                <w:b w:val="0"/>
                <w:sz w:val="32"/>
              </w:rPr>
              <w:t>18.0</w:t>
            </w:r>
          </w:p>
        </w:tc>
        <w:tc>
          <w:p w14:paraId="5A2EADF8">
            <w:pPr>
              <w:jc w:val="center"/>
            </w:pPr>
            <w:r>
              <w:rPr>
                <w:rFonts w:ascii="仿宋" w:hAnsi="仿宋" w:eastAsia="仿宋" w:cs="仿宋"/>
                <w:b w:val="0"/>
                <w:sz w:val="32"/>
              </w:rPr>
              <w:t>11.0</w:t>
            </w:r>
          </w:p>
        </w:tc>
        <w:tc>
          <w:p w14:paraId="5E36B43A">
            <w:pPr>
              <w:jc w:val="center"/>
            </w:pPr>
            <w:r>
              <w:rPr>
                <w:rFonts w:ascii="仿宋" w:hAnsi="仿宋" w:eastAsia="仿宋" w:cs="仿宋"/>
                <w:b w:val="0"/>
                <w:sz w:val="32"/>
              </w:rPr>
              <w:t>61.11%</w:t>
            </w:r>
          </w:p>
        </w:tc>
      </w:tr>
      <w:tr w14:paraId="201E72B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956F19C">
            <w:pPr>
              <w:jc w:val="center"/>
            </w:pPr>
            <w:r>
              <w:rPr>
                <w:rFonts w:ascii="仿宋" w:hAnsi="仿宋" w:eastAsia="仿宋" w:cs="仿宋"/>
                <w:b w:val="0"/>
                <w:sz w:val="32"/>
              </w:rPr>
              <w:t>过程指标</w:t>
            </w:r>
          </w:p>
        </w:tc>
        <w:tc>
          <w:p w14:paraId="6698EECD">
            <w:pPr>
              <w:jc w:val="center"/>
            </w:pPr>
            <w:r>
              <w:rPr>
                <w:rFonts w:ascii="仿宋" w:hAnsi="仿宋" w:eastAsia="仿宋" w:cs="仿宋"/>
                <w:b w:val="0"/>
                <w:sz w:val="32"/>
              </w:rPr>
              <w:t>22.0</w:t>
            </w:r>
          </w:p>
        </w:tc>
        <w:tc>
          <w:p w14:paraId="6038D2A8">
            <w:pPr>
              <w:jc w:val="center"/>
            </w:pPr>
            <w:r>
              <w:rPr>
                <w:rFonts w:ascii="仿宋" w:hAnsi="仿宋" w:eastAsia="仿宋" w:cs="仿宋"/>
                <w:b w:val="0"/>
                <w:sz w:val="32"/>
              </w:rPr>
              <w:t>21.0</w:t>
            </w:r>
          </w:p>
        </w:tc>
        <w:tc>
          <w:p w14:paraId="2639D62F">
            <w:pPr>
              <w:jc w:val="center"/>
            </w:pPr>
            <w:r>
              <w:rPr>
                <w:rFonts w:ascii="仿宋" w:hAnsi="仿宋" w:eastAsia="仿宋" w:cs="仿宋"/>
                <w:b w:val="0"/>
                <w:sz w:val="32"/>
              </w:rPr>
              <w:t>95.45%</w:t>
            </w:r>
          </w:p>
        </w:tc>
      </w:tr>
      <w:tr w14:paraId="0D7BFA2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A9379A1">
            <w:pPr>
              <w:jc w:val="center"/>
            </w:pPr>
            <w:r>
              <w:rPr>
                <w:rFonts w:ascii="仿宋" w:hAnsi="仿宋" w:eastAsia="仿宋" w:cs="仿宋"/>
                <w:b w:val="0"/>
                <w:sz w:val="32"/>
              </w:rPr>
              <w:t>产出指标</w:t>
            </w:r>
          </w:p>
        </w:tc>
        <w:tc>
          <w:p w14:paraId="6881F608">
            <w:pPr>
              <w:jc w:val="center"/>
            </w:pPr>
            <w:r>
              <w:rPr>
                <w:rFonts w:ascii="仿宋" w:hAnsi="仿宋" w:eastAsia="仿宋" w:cs="仿宋"/>
                <w:b w:val="0"/>
                <w:sz w:val="32"/>
              </w:rPr>
              <w:t>36.0</w:t>
            </w:r>
          </w:p>
        </w:tc>
        <w:tc>
          <w:p w14:paraId="069AE2CD">
            <w:pPr>
              <w:jc w:val="center"/>
            </w:pPr>
            <w:r>
              <w:rPr>
                <w:rFonts w:ascii="仿宋" w:hAnsi="仿宋" w:eastAsia="仿宋" w:cs="仿宋"/>
                <w:b w:val="0"/>
                <w:sz w:val="32"/>
              </w:rPr>
              <w:t>36.0</w:t>
            </w:r>
          </w:p>
        </w:tc>
        <w:tc>
          <w:p w14:paraId="73FD8C4B">
            <w:pPr>
              <w:jc w:val="center"/>
            </w:pPr>
            <w:r>
              <w:rPr>
                <w:rFonts w:ascii="仿宋" w:hAnsi="仿宋" w:eastAsia="仿宋" w:cs="仿宋"/>
                <w:b w:val="0"/>
                <w:sz w:val="32"/>
              </w:rPr>
              <w:t>100.00%</w:t>
            </w:r>
          </w:p>
        </w:tc>
      </w:tr>
      <w:tr w14:paraId="520888C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A567FDF">
            <w:pPr>
              <w:jc w:val="center"/>
            </w:pPr>
            <w:r>
              <w:rPr>
                <w:rFonts w:ascii="仿宋" w:hAnsi="仿宋" w:eastAsia="仿宋" w:cs="仿宋"/>
                <w:b w:val="0"/>
                <w:sz w:val="32"/>
              </w:rPr>
              <w:t>效益指标</w:t>
            </w:r>
          </w:p>
        </w:tc>
        <w:tc>
          <w:p w14:paraId="01099E0C">
            <w:pPr>
              <w:jc w:val="center"/>
            </w:pPr>
            <w:r>
              <w:rPr>
                <w:rFonts w:ascii="仿宋" w:hAnsi="仿宋" w:eastAsia="仿宋" w:cs="仿宋"/>
                <w:b w:val="0"/>
                <w:sz w:val="32"/>
              </w:rPr>
              <w:t>24.0</w:t>
            </w:r>
          </w:p>
        </w:tc>
        <w:tc>
          <w:p w14:paraId="1275C8D4">
            <w:pPr>
              <w:jc w:val="center"/>
            </w:pPr>
            <w:r>
              <w:rPr>
                <w:rFonts w:ascii="仿宋" w:hAnsi="仿宋" w:eastAsia="仿宋" w:cs="仿宋"/>
                <w:b w:val="0"/>
                <w:sz w:val="32"/>
              </w:rPr>
              <w:t>24.0</w:t>
            </w:r>
          </w:p>
        </w:tc>
        <w:tc>
          <w:p w14:paraId="043FB820">
            <w:pPr>
              <w:jc w:val="center"/>
            </w:pPr>
            <w:r>
              <w:rPr>
                <w:rFonts w:ascii="仿宋" w:hAnsi="仿宋" w:eastAsia="仿宋" w:cs="仿宋"/>
                <w:b w:val="0"/>
                <w:sz w:val="32"/>
              </w:rPr>
              <w:t>100.00%</w:t>
            </w:r>
          </w:p>
        </w:tc>
      </w:tr>
    </w:tbl>
    <w:p w14:paraId="4B52CA21">
      <w:pPr>
        <w:spacing w:before="104" w:line="600" w:lineRule="exact"/>
        <w:ind w:firstLine="672"/>
        <w:outlineLvl w:val="0"/>
        <w:rPr>
          <w:rFonts w:ascii="黑体" w:hAnsi="黑体" w:eastAsia="黑体" w:cs="黑体"/>
          <w:spacing w:val="-2"/>
          <w:sz w:val="32"/>
          <w:szCs w:val="32"/>
        </w:rPr>
      </w:pPr>
      <w:bookmarkStart w:id="60" w:name="_Toc32371"/>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28988"/>
      <w:bookmarkStart w:id="62" w:name="_Toc18549_WPSOffice_Level2"/>
      <w:bookmarkStart w:id="63" w:name="_Toc26570_WPSOffice_Level2"/>
      <w:bookmarkStart w:id="64" w:name="_Toc4780_WPSOffice_Level2"/>
      <w:bookmarkStart w:id="65" w:name="_Toc24823_WPSOffice_Level2"/>
      <w:bookmarkStart w:id="66" w:name="_Toc17947"/>
      <w:bookmarkStart w:id="67" w:name="_Hlk2366513"/>
      <w:bookmarkStart w:id="68" w:name="_Toc379"/>
    </w:p>
    <w:p w14:paraId="523B2770">
      <w:pPr>
        <w:spacing w:line="600" w:lineRule="exact"/>
        <w:ind w:firstLine="643" w:firstLineChars="200"/>
        <w:outlineLvl w:val="1"/>
        <w:rPr>
          <w:rFonts w:hint="eastAsia" w:ascii="楷体_GB2312" w:hAnsi="楷体_GB2312" w:eastAsia="楷体_GB2312" w:cs="楷体_GB2312"/>
          <w:b/>
          <w:bCs/>
          <w:kern w:val="0"/>
          <w:sz w:val="32"/>
          <w:szCs w:val="32"/>
        </w:rPr>
      </w:pPr>
      <w:bookmarkStart w:id="69" w:name="_Toc9189"/>
      <w:r>
        <w:rPr>
          <w:rFonts w:hint="eastAsia" w:ascii="楷体_GB2312" w:hAnsi="楷体_GB2312" w:eastAsia="楷体_GB2312" w:cs="楷体_GB2312"/>
          <w:b/>
          <w:bCs/>
          <w:kern w:val="0"/>
          <w:sz w:val="32"/>
          <w:szCs w:val="32"/>
        </w:rPr>
        <w:t>（一）决策指标（满分18.0分，实得11.0分）</w:t>
      </w:r>
      <w:bookmarkEnd w:id="69"/>
    </w:p>
    <w:p w14:paraId="063790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6B7C0A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4CEAAC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为了全面提升扶风县城乡居民获取应急事件信息和救助能力，打通广播宣传</w:t>
      </w:r>
      <w:r>
        <w:rPr>
          <w:rFonts w:hint="eastAsia" w:ascii="仿宋" w:hAnsi="仿宋" w:eastAsia="仿宋" w:cs="仿宋"/>
          <w:kern w:val="0"/>
          <w:sz w:val="32"/>
          <w:szCs w:val="32"/>
          <w:lang w:eastAsia="zh-CN"/>
        </w:rPr>
        <w:t>“最后一公里”</w:t>
      </w:r>
      <w:r>
        <w:rPr>
          <w:rFonts w:ascii="仿宋" w:hAnsi="仿宋" w:eastAsia="仿宋" w:cs="仿宋"/>
          <w:kern w:val="0"/>
          <w:sz w:val="32"/>
          <w:szCs w:val="32"/>
        </w:rPr>
        <w:t>，促进县域经济社会发展，扶风县人民政府于2021年4月2日召开政府常务会议确定，由县文旅局负责，各镇街配合，组织实施好应急广播建设项目，县财政局对应急广播建设一期项目所需的县级配套资金和运行维护费用予以列支。项目由扶风县文化和旅游局组织实施。经分析，项目立项</w:t>
      </w:r>
      <w:r>
        <w:rPr>
          <w:rFonts w:hint="eastAsia" w:ascii="仿宋" w:hAnsi="仿宋" w:eastAsia="仿宋" w:cs="仿宋"/>
          <w:kern w:val="0"/>
          <w:sz w:val="32"/>
          <w:szCs w:val="32"/>
          <w:lang w:val="en-US" w:eastAsia="zh-CN"/>
        </w:rPr>
        <w:t>符合国家法规和行业发展需求</w:t>
      </w:r>
      <w:r>
        <w:rPr>
          <w:rFonts w:hint="eastAsia" w:ascii="仿宋" w:hAnsi="仿宋" w:eastAsia="仿宋" w:cs="仿宋"/>
          <w:kern w:val="0"/>
          <w:sz w:val="32"/>
          <w:szCs w:val="32"/>
          <w:lang w:eastAsia="zh-CN"/>
        </w:rPr>
        <w:t>，</w:t>
      </w:r>
      <w:r>
        <w:rPr>
          <w:rFonts w:ascii="仿宋" w:hAnsi="仿宋" w:eastAsia="仿宋" w:cs="仿宋"/>
          <w:kern w:val="0"/>
          <w:sz w:val="32"/>
          <w:szCs w:val="32"/>
        </w:rPr>
        <w:t>与部门职责范围相符或属于部门履职所需，符合行业发展规划和政策要求。属于公共财政支持范围，与相关部门同类项目或部门内部相关项目不重复。</w:t>
      </w:r>
    </w:p>
    <w:p w14:paraId="1C475E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77E9F2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64EA9A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项目由扶风县文化和旅游局提交扶风县政府，扶风县政府于2021年4月2日召开政府常务会议审议通过。经分析，项目已经按照规定的程序申请设立，审批文件、材料符合相关要求，事前经过必要的集体决策。</w:t>
      </w:r>
    </w:p>
    <w:p w14:paraId="7E23C2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F1576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2、绩效目标（满分7.0分，实得0.0分）</w:t>
      </w:r>
    </w:p>
    <w:p w14:paraId="79FECB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（1）绩效目标合理性（满分4.0分，实得0.0分）</w:t>
      </w:r>
    </w:p>
    <w:p w14:paraId="2E2FF5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609304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35131E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（2）绩效指标明确性（满分3.0分，实得0.0分）</w:t>
      </w:r>
    </w:p>
    <w:p w14:paraId="266F44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1D310F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根据评分标准，本指标满分3.0分，扣3.0分，评价得0.0分。</w:t>
      </w:r>
    </w:p>
    <w:p w14:paraId="41BCDC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64F61E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4B3CB0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项目预算由扶风县文化和旅游局根据业务计划编制，经财政局审核、政府批准</w:t>
      </w:r>
      <w:r>
        <w:rPr>
          <w:rFonts w:hint="eastAsia" w:ascii="仿宋" w:hAnsi="仿宋" w:eastAsia="仿宋" w:cs="仿宋"/>
          <w:kern w:val="0"/>
          <w:sz w:val="32"/>
          <w:szCs w:val="32"/>
          <w:lang w:val="en-US" w:eastAsia="zh-CN"/>
        </w:rPr>
        <w:t>后</w:t>
      </w:r>
      <w:r>
        <w:rPr>
          <w:rFonts w:ascii="仿宋" w:hAnsi="仿宋" w:eastAsia="仿宋" w:cs="仿宋"/>
          <w:kern w:val="0"/>
          <w:sz w:val="32"/>
          <w:szCs w:val="32"/>
        </w:rPr>
        <w:t>列入部门预算。经分析，预算编制经过科学论证，预算内容与项目内容相匹配。预算额度测算依据充分、按照标准编制，</w:t>
      </w:r>
      <w:r>
        <w:rPr>
          <w:rFonts w:hint="eastAsia" w:ascii="仿宋" w:hAnsi="仿宋" w:eastAsia="仿宋" w:cs="仿宋"/>
          <w:kern w:val="0"/>
          <w:sz w:val="32"/>
          <w:szCs w:val="32"/>
          <w:lang w:val="en-US" w:eastAsia="zh-CN"/>
        </w:rPr>
        <w:t>确保</w:t>
      </w:r>
      <w:r>
        <w:rPr>
          <w:rFonts w:ascii="仿宋" w:hAnsi="仿宋" w:eastAsia="仿宋" w:cs="仿宋"/>
          <w:kern w:val="0"/>
          <w:sz w:val="32"/>
          <w:szCs w:val="32"/>
        </w:rPr>
        <w:t>预算确定的项目投资额与工作任务相匹配。</w:t>
      </w:r>
    </w:p>
    <w:p w14:paraId="756C86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360FB8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64FFB8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4月14日以《关于下达财政预算支出指标的通知》（扶财办预〔2023〕030号）向扶风县文化和旅游局下达项目预算，资金拨付以批准的部门预算额度为准，如确需追加预算的，由扶风县文化和旅游局按专项资金设立程序提出申请</w:t>
      </w:r>
      <w:r>
        <w:rPr>
          <w:rFonts w:hint="eastAsia" w:ascii="仿宋" w:hAnsi="仿宋" w:eastAsia="仿宋" w:cs="仿宋"/>
          <w:kern w:val="0"/>
          <w:sz w:val="32"/>
          <w:szCs w:val="32"/>
          <w:lang w:val="en-US" w:eastAsia="zh-CN"/>
        </w:rPr>
        <w:t>并</w:t>
      </w:r>
      <w:r>
        <w:rPr>
          <w:rFonts w:ascii="仿宋" w:hAnsi="仿宋" w:eastAsia="仿宋" w:cs="仿宋"/>
          <w:kern w:val="0"/>
          <w:sz w:val="32"/>
          <w:szCs w:val="32"/>
        </w:rPr>
        <w:t>报财政局审核，并按照权限由政府常务会议审定。经分析，预算资金分配依据充分。资金分配额度合理、与项目实际相适应。</w:t>
      </w:r>
    </w:p>
    <w:p w14:paraId="13D527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68F4A2A5">
      <w:pPr>
        <w:spacing w:line="600" w:lineRule="exact"/>
        <w:ind w:firstLine="643" w:firstLineChars="200"/>
        <w:outlineLvl w:val="1"/>
        <w:rPr>
          <w:rFonts w:hint="eastAsia" w:ascii="楷体_GB2312" w:hAnsi="楷体_GB2312" w:eastAsia="楷体_GB2312" w:cs="楷体_GB2312"/>
          <w:b/>
          <w:bCs/>
          <w:kern w:val="0"/>
          <w:sz w:val="32"/>
          <w:szCs w:val="32"/>
        </w:rPr>
      </w:pPr>
      <w:bookmarkStart w:id="70" w:name="_Toc27804"/>
      <w:r>
        <w:rPr>
          <w:rFonts w:hint="eastAsia" w:ascii="楷体_GB2312" w:hAnsi="楷体_GB2312" w:eastAsia="楷体_GB2312" w:cs="楷体_GB2312"/>
          <w:b/>
          <w:bCs/>
          <w:kern w:val="0"/>
          <w:sz w:val="32"/>
          <w:szCs w:val="32"/>
        </w:rPr>
        <w:t>（二）过程指标（满分22.0分，实得21.0分）</w:t>
      </w:r>
      <w:bookmarkEnd w:id="70"/>
    </w:p>
    <w:p w14:paraId="4AD8FC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6B369F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35494E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评价小组查阅了项目有关的预算资金下达文件：扶风县财政局于2023年4月14日以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扶财办预〔2023〕030号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文件向扶风县文化和旅游局下达项目预算资金132.18万元，已下达到扶风县文化和旅游局。实际到位资金132.18万元，资金到位率100.00%。</w:t>
      </w:r>
    </w:p>
    <w:p w14:paraId="1F1641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7100E3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04727F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项目实际到位资金为132.18万元，实际支出资金为132.18万元，总预算执行率为100.00%。</w:t>
      </w:r>
    </w:p>
    <w:p w14:paraId="7B8DD5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5F4E12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5EFBC7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eastAsia="zh-CN"/>
        </w:rPr>
        <w:t>，</w:t>
      </w:r>
      <w:r>
        <w:rPr>
          <w:rFonts w:ascii="仿宋" w:hAnsi="仿宋" w:eastAsia="仿宋" w:cs="仿宋"/>
          <w:kern w:val="0"/>
          <w:sz w:val="32"/>
          <w:szCs w:val="32"/>
        </w:rPr>
        <w:t>由扶风县文化和旅游局提出申请，经扶风县常务会议审核、批准。项目达到合同规定的付款条件，凭合同、发票、验收资料等，按照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w:t>
      </w:r>
      <w:r>
        <w:rPr>
          <w:rFonts w:hint="eastAsia" w:ascii="仿宋" w:hAnsi="仿宋" w:eastAsia="仿宋" w:cs="仿宋"/>
          <w:kern w:val="0"/>
          <w:sz w:val="32"/>
          <w:szCs w:val="32"/>
          <w:lang w:val="en-US" w:eastAsia="zh-CN"/>
        </w:rPr>
        <w:t>供应商</w:t>
      </w:r>
      <w:r>
        <w:rPr>
          <w:rFonts w:ascii="仿宋" w:hAnsi="仿宋" w:eastAsia="仿宋" w:cs="仿宋"/>
          <w:kern w:val="0"/>
          <w:sz w:val="32"/>
          <w:szCs w:val="32"/>
        </w:rPr>
        <w:t>单位。经分析，项目资金的支出符合国家财经法规和《扶风县应急广播建设项目资金管理办法》的规定，资金的拨付有完整的审批程序和手续，符合项目合同规定的用途。</w:t>
      </w:r>
      <w:bookmarkStart w:id="80" w:name="_GoBack"/>
      <w:bookmarkEnd w:id="80"/>
    </w:p>
    <w:p w14:paraId="6209D5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4B2CF0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2、组织实施（满分11.0分，实得10.0分）</w:t>
      </w:r>
    </w:p>
    <w:p w14:paraId="248143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6F9356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文化和旅游局委托宝鸡天正项目管理咨询有限公司于2021年10月22日，通过公开招标方式确定宝鸡广电网络传媒有限责任公司为施工单位。经分析，项目采购执行了内部决策程序；项目按照相关政策执行政府采购程序，项目采购方式符合规定。</w:t>
      </w:r>
    </w:p>
    <w:p w14:paraId="32DA62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286FB2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（2）管理制度健全性（满分2.0分，实得1.0分）</w:t>
      </w:r>
    </w:p>
    <w:p w14:paraId="3805A0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实施单位</w:t>
      </w:r>
      <w:r>
        <w:rPr>
          <w:rFonts w:ascii="仿宋" w:hAnsi="仿宋" w:eastAsia="仿宋" w:cs="仿宋"/>
          <w:kern w:val="0"/>
          <w:sz w:val="32"/>
          <w:szCs w:val="32"/>
        </w:rPr>
        <w:t>《财务管理制度》规定：局机关及所属事业单位发生的支出必须由经手人签字，主管领导审查，局长审签后方可报销。《预算管理制度》规定：各股室编制本部门的各项专项预算；支出预算由基本支出预算和项目支出预算组成。经分析，项目单位具有相应的财务和预算管理制度；财务和预算管理制度是否合法、合规、完整。但未制定业务管理制度。</w:t>
      </w:r>
    </w:p>
    <w:p w14:paraId="204682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根据评分标准，本指标满分2.0分，扣1.0分，评价得1.0分。</w:t>
      </w:r>
    </w:p>
    <w:p w14:paraId="174A16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（3）绩效自评规范性（满分4.0分，实得4.0分）</w:t>
      </w:r>
    </w:p>
    <w:p w14:paraId="72B850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项目单位已经开展了绩效自评工作。经分析，项目实施单位进行了绩效自评，报告及打分表完整；自评报告数据准确、内容翔实。</w:t>
      </w:r>
    </w:p>
    <w:p w14:paraId="274314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3B987B33">
      <w:pPr>
        <w:spacing w:line="600" w:lineRule="exact"/>
        <w:ind w:firstLine="643" w:firstLineChars="200"/>
        <w:outlineLvl w:val="1"/>
        <w:rPr>
          <w:rFonts w:hint="eastAsia" w:ascii="楷体_GB2312" w:hAnsi="楷体_GB2312" w:eastAsia="楷体_GB2312" w:cs="楷体_GB2312"/>
          <w:b/>
          <w:bCs/>
          <w:kern w:val="0"/>
          <w:sz w:val="32"/>
          <w:szCs w:val="32"/>
        </w:rPr>
      </w:pPr>
      <w:bookmarkStart w:id="71" w:name="_Toc30079"/>
      <w:r>
        <w:rPr>
          <w:rFonts w:hint="eastAsia" w:ascii="楷体_GB2312" w:hAnsi="楷体_GB2312" w:eastAsia="楷体_GB2312" w:cs="楷体_GB2312"/>
          <w:b/>
          <w:bCs/>
          <w:kern w:val="0"/>
          <w:sz w:val="32"/>
          <w:szCs w:val="32"/>
        </w:rPr>
        <w:t>（三）产出指标（满分36.0分，实得36.0分）</w:t>
      </w:r>
      <w:bookmarkEnd w:id="71"/>
    </w:p>
    <w:p w14:paraId="40E589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5F5211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（1）应急广播建设县级补助及运行维护经费实际完成率（满分9.0分，实得9.0分）</w:t>
      </w:r>
    </w:p>
    <w:p w14:paraId="0B3B51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核实项目的实际完成情况，评价小组检查了92个行政村（社区）及1个法门景区应急广播室，679个大喇叭终端点位;在全县城重点公共区域部署149个多模音柱；政法委综治中心应急广播前置发布系统；完成了融媒体中心广播电台标准化建设，配置直播、制作、播出设备等项目，项目计划内容已全部实施。</w:t>
      </w:r>
    </w:p>
    <w:p w14:paraId="2A5B8D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DEB44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148334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（1）应急广播建设县级补助及运行维护经费质量合格率（满分9.0分，实得9.0分）</w:t>
      </w:r>
    </w:p>
    <w:p w14:paraId="3567BC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完成了92个行政村（社区）及1个法门景区应急广播室，679个大喇叭终端点位；在全县城重点公共区域部署149个多模音柱；政法委综治中心应急广播前置发布系统；完成了融媒体中心广播电台标准化建设，配置直播、制作、播出设备等项目的验收，验收合格率100.00%。</w:t>
      </w:r>
    </w:p>
    <w:p w14:paraId="6AEEC3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AC4F4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4A4F1C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（1）应急广播建设县级补助及运行维护经费完成及时率（满分9.0分，实得9.0分）</w:t>
      </w:r>
    </w:p>
    <w:p w14:paraId="36B1DF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项目于2023年度及时完成应急广播建设县级补助及运维，完成及时率100%。</w:t>
      </w:r>
    </w:p>
    <w:p w14:paraId="6AD6EC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55502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3DBAD3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（1）应急广播建设县级补助及运行维护经费成本节约率（满分9.0分，实得9.0分）</w:t>
      </w:r>
    </w:p>
    <w:p w14:paraId="7C37C5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项目实际到位资金为132.18万元，实际支出资金为132.18万元，成本节约率0%。</w:t>
      </w:r>
    </w:p>
    <w:p w14:paraId="50C88F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4A852535">
      <w:pPr>
        <w:spacing w:line="600" w:lineRule="exact"/>
        <w:ind w:firstLine="643" w:firstLineChars="200"/>
        <w:outlineLvl w:val="1"/>
        <w:rPr>
          <w:rFonts w:hint="eastAsia" w:ascii="楷体_GB2312" w:hAnsi="楷体_GB2312" w:eastAsia="楷体_GB2312" w:cs="楷体_GB2312"/>
          <w:b/>
          <w:bCs/>
          <w:kern w:val="0"/>
          <w:sz w:val="32"/>
          <w:szCs w:val="32"/>
        </w:rPr>
      </w:pPr>
      <w:bookmarkStart w:id="72" w:name="_Toc18226"/>
      <w:r>
        <w:rPr>
          <w:rFonts w:hint="eastAsia" w:ascii="楷体_GB2312" w:hAnsi="楷体_GB2312" w:eastAsia="楷体_GB2312" w:cs="楷体_GB2312"/>
          <w:b/>
          <w:bCs/>
          <w:kern w:val="0"/>
          <w:sz w:val="32"/>
          <w:szCs w:val="32"/>
        </w:rPr>
        <w:t>（四）效益指标（满分24.0分，实得24.0分）</w:t>
      </w:r>
      <w:bookmarkEnd w:id="72"/>
    </w:p>
    <w:p w14:paraId="5CF2E7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272F0D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（1）丰富群众精神生活，提高应急响应效率，促进信息普及和共享（满分18.0分，实得18.0分）</w:t>
      </w:r>
    </w:p>
    <w:p w14:paraId="0EB9E0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项目的实施能够有效丰富群众精神生活，提高应急响应效率。</w:t>
      </w:r>
    </w:p>
    <w:p w14:paraId="1A747E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678427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2A2CF1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（1）受益对象满意度（满分6.0分，实得6.0分）</w:t>
      </w:r>
    </w:p>
    <w:p w14:paraId="0183AB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评价组机构通过抽样共计发放24份问卷，社会公众对项目的整体评价为非常满意。满意度调查情况详见《调查问卷分析》。</w:t>
      </w:r>
    </w:p>
    <w:p w14:paraId="459969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2553D758">
      <w:pPr>
        <w:spacing w:before="104" w:line="600" w:lineRule="exact"/>
        <w:ind w:firstLine="672"/>
        <w:outlineLvl w:val="0"/>
        <w:rPr>
          <w:rFonts w:ascii="黑体" w:hAnsi="黑体" w:eastAsia="黑体" w:cs="黑体"/>
          <w:spacing w:val="-2"/>
          <w:sz w:val="32"/>
          <w:szCs w:val="32"/>
        </w:rPr>
      </w:pPr>
      <w:bookmarkStart w:id="73" w:name="_Toc3253"/>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39BB5F7C">
      <w:pPr>
        <w:spacing w:line="600" w:lineRule="exact"/>
        <w:ind w:firstLine="643" w:firstLineChars="200"/>
        <w:outlineLvl w:val="1"/>
        <w:rPr>
          <w:rFonts w:hint="eastAsia" w:ascii="楷体_GB2312" w:hAnsi="楷体_GB2312" w:eastAsia="楷体_GB2312" w:cs="楷体_GB2312"/>
          <w:b/>
          <w:bCs/>
          <w:kern w:val="0"/>
          <w:sz w:val="32"/>
          <w:szCs w:val="32"/>
        </w:rPr>
      </w:pPr>
      <w:bookmarkStart w:id="74" w:name="_Toc19784"/>
      <w:r>
        <w:rPr>
          <w:rFonts w:hint="eastAsia" w:ascii="楷体_GB2312" w:hAnsi="楷体_GB2312" w:eastAsia="楷体_GB2312" w:cs="楷体_GB2312"/>
          <w:b/>
          <w:bCs/>
          <w:kern w:val="0"/>
          <w:sz w:val="32"/>
          <w:szCs w:val="32"/>
        </w:rPr>
        <w:t>（一）项目</w:t>
      </w:r>
      <w:r>
        <w:rPr>
          <w:rFonts w:hint="eastAsia" w:ascii="楷体_GB2312" w:hAnsi="楷体_GB2312" w:eastAsia="楷体_GB2312" w:cs="楷体_GB2312"/>
          <w:b/>
          <w:bCs/>
          <w:kern w:val="0"/>
          <w:sz w:val="32"/>
          <w:szCs w:val="32"/>
          <w:lang w:val="en-US" w:eastAsia="zh-CN"/>
        </w:rPr>
        <w:t>单位未提供</w:t>
      </w:r>
      <w:r>
        <w:rPr>
          <w:rFonts w:hint="eastAsia" w:ascii="楷体_GB2312" w:hAnsi="楷体_GB2312" w:eastAsia="楷体_GB2312" w:cs="楷体_GB2312"/>
          <w:b/>
          <w:bCs/>
          <w:kern w:val="0"/>
          <w:sz w:val="32"/>
          <w:szCs w:val="32"/>
        </w:rPr>
        <w:t>绩效目标申报</w:t>
      </w:r>
      <w:r>
        <w:rPr>
          <w:rFonts w:hint="eastAsia" w:ascii="楷体_GB2312" w:hAnsi="楷体_GB2312" w:eastAsia="楷体_GB2312" w:cs="楷体_GB2312"/>
          <w:b/>
          <w:bCs/>
          <w:kern w:val="0"/>
          <w:sz w:val="32"/>
          <w:szCs w:val="32"/>
          <w:lang w:val="en-US" w:eastAsia="zh-CN"/>
        </w:rPr>
        <w:t>表</w:t>
      </w:r>
      <w:bookmarkEnd w:id="74"/>
    </w:p>
    <w:p w14:paraId="375FB0FB">
      <w:pPr>
        <w:spacing w:line="600" w:lineRule="exact"/>
        <w:ind w:firstLine="643" w:firstLineChars="200"/>
        <w:outlineLvl w:val="1"/>
        <w:rPr>
          <w:rFonts w:hint="eastAsia" w:ascii="楷体_GB2312" w:hAnsi="楷体_GB2312" w:eastAsia="楷体_GB2312" w:cs="楷体_GB2312"/>
          <w:b/>
          <w:bCs/>
          <w:kern w:val="0"/>
          <w:sz w:val="32"/>
          <w:szCs w:val="32"/>
        </w:rPr>
      </w:pPr>
      <w:bookmarkStart w:id="75" w:name="_Toc21864"/>
      <w:r>
        <w:rPr>
          <w:rFonts w:hint="eastAsia" w:ascii="楷体_GB2312" w:hAnsi="楷体_GB2312" w:eastAsia="楷体_GB2312" w:cs="楷体_GB2312"/>
          <w:b/>
          <w:bCs/>
          <w:kern w:val="0"/>
          <w:sz w:val="32"/>
          <w:szCs w:val="32"/>
        </w:rPr>
        <w:t>（二）项目单位未制定业务管理制度</w:t>
      </w:r>
      <w:bookmarkEnd w:id="75"/>
    </w:p>
    <w:p w14:paraId="2CF8BCAF">
      <w:pPr>
        <w:spacing w:line="600" w:lineRule="exact"/>
        <w:ind w:firstLine="632" w:firstLineChars="200"/>
        <w:outlineLvl w:val="0"/>
        <w:rPr>
          <w:rFonts w:ascii="黑体" w:hAnsi="黑体" w:eastAsia="黑体" w:cs="黑体"/>
          <w:spacing w:val="-2"/>
          <w:sz w:val="32"/>
          <w:szCs w:val="32"/>
        </w:rPr>
      </w:pPr>
      <w:bookmarkStart w:id="76" w:name="_Toc10226"/>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6"/>
    </w:p>
    <w:p w14:paraId="60C3164F">
      <w:pPr>
        <w:spacing w:line="600" w:lineRule="exact"/>
        <w:ind w:firstLine="643" w:firstLineChars="200"/>
        <w:outlineLvl w:val="1"/>
        <w:rPr>
          <w:rFonts w:hint="eastAsia" w:ascii="楷体_GB2312" w:hAnsi="楷体_GB2312" w:eastAsia="楷体_GB2312" w:cs="楷体_GB2312"/>
          <w:b/>
          <w:bCs/>
          <w:kern w:val="0"/>
          <w:sz w:val="32"/>
          <w:szCs w:val="32"/>
        </w:rPr>
      </w:pPr>
      <w:bookmarkStart w:id="77" w:name="_Toc22086"/>
      <w:r>
        <w:rPr>
          <w:rFonts w:hint="eastAsia" w:ascii="楷体_GB2312" w:hAnsi="楷体_GB2312" w:eastAsia="楷体_GB2312" w:cs="楷体_GB2312"/>
          <w:b/>
          <w:bCs/>
          <w:kern w:val="0"/>
          <w:sz w:val="32"/>
          <w:szCs w:val="32"/>
        </w:rPr>
        <w:t>（一）设置项目的绩效目标及指标</w:t>
      </w:r>
      <w:bookmarkEnd w:id="77"/>
    </w:p>
    <w:p w14:paraId="513402A9">
      <w:pPr>
        <w:spacing w:line="600" w:lineRule="exact"/>
        <w:ind w:firstLine="640" w:firstLineChars="200"/>
      </w:pPr>
      <w:r>
        <w:rPr>
          <w:rFonts w:hint="eastAsia" w:ascii="仿宋" w:hAnsi="仿宋" w:eastAsia="仿宋" w:cs="仿宋"/>
          <w:kern w:val="0"/>
          <w:sz w:val="32"/>
          <w:szCs w:val="32"/>
        </w:rPr>
        <w:t>在财政预算管理过程中，为了确保公共资金的有效利用和项目的顺利实施，设置绩效目标尤为重要。通过明确绩效目标，政府部门和项目实施单位可以清晰地了解项目的预期成果和效益，从而有针对性地制定实施计划和资金配置方案。</w:t>
      </w:r>
    </w:p>
    <w:p w14:paraId="1BB996F2">
      <w:pPr>
        <w:spacing w:line="600" w:lineRule="exact"/>
        <w:ind w:firstLine="640" w:firstLineChars="200"/>
      </w:pPr>
      <w:r>
        <w:rPr>
          <w:rFonts w:hint="eastAsia" w:ascii="仿宋" w:hAnsi="仿宋" w:eastAsia="仿宋" w:cs="仿宋"/>
          <w:kern w:val="0"/>
          <w:sz w:val="32"/>
          <w:szCs w:val="32"/>
        </w:rPr>
        <w:t>在财政预算管理过程中，为了确保财政预算资金项目的有效执行和评估，设置明确、具体、可衡量的绩效指标至关重要。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22F6E3E0">
      <w:pPr>
        <w:spacing w:line="600" w:lineRule="exact"/>
        <w:ind w:firstLine="643" w:firstLineChars="200"/>
        <w:outlineLvl w:val="1"/>
        <w:rPr>
          <w:rFonts w:hint="eastAsia" w:ascii="楷体_GB2312" w:hAnsi="楷体_GB2312" w:eastAsia="楷体_GB2312" w:cs="楷体_GB2312"/>
          <w:b/>
          <w:bCs/>
        </w:rPr>
      </w:pPr>
      <w:bookmarkStart w:id="78" w:name="_Toc25955"/>
      <w:r>
        <w:rPr>
          <w:rFonts w:hint="eastAsia" w:ascii="楷体_GB2312" w:hAnsi="楷体_GB2312" w:eastAsia="楷体_GB2312" w:cs="楷体_GB2312"/>
          <w:b/>
          <w:bCs/>
          <w:kern w:val="0"/>
          <w:sz w:val="32"/>
          <w:szCs w:val="32"/>
        </w:rPr>
        <w:t>（二）制定业务管理制度，加强绩效管理</w:t>
      </w:r>
      <w:bookmarkEnd w:id="78"/>
    </w:p>
    <w:p w14:paraId="0B072AEC">
      <w:pPr>
        <w:spacing w:line="600" w:lineRule="exact"/>
        <w:ind w:firstLine="640" w:firstLineChars="200"/>
      </w:pPr>
      <w:r>
        <w:rPr>
          <w:rFonts w:hint="eastAsia" w:ascii="仿宋" w:hAnsi="仿宋" w:eastAsia="仿宋" w:cs="仿宋"/>
          <w:kern w:val="0"/>
          <w:sz w:val="32"/>
          <w:szCs w:val="32"/>
        </w:rPr>
        <w:t>项目单位应根据项目的实际需要制定业务管理制度，对项目进度和绩效目标实现情况进行监控、考核，及时纠正项目实施过程中的偏差，确保项目绩效目标顺利实现。</w:t>
      </w:r>
    </w:p>
    <w:p w14:paraId="5DEF2F4E">
      <w:pPr>
        <w:spacing w:line="600" w:lineRule="exact"/>
        <w:ind w:firstLine="420" w:firstLineChars="200"/>
      </w:pPr>
    </w:p>
    <w:p w14:paraId="699F9BF2">
      <w:pPr>
        <w:spacing w:line="600" w:lineRule="exact"/>
        <w:rPr>
          <w:rFonts w:ascii="仿宋" w:hAnsi="仿宋" w:eastAsia="仿宋" w:cs="仿宋"/>
          <w:kern w:val="0"/>
          <w:sz w:val="32"/>
          <w:szCs w:val="32"/>
        </w:rPr>
      </w:pPr>
    </w:p>
    <w:p w14:paraId="141D9D77">
      <w:pPr>
        <w:spacing w:line="600" w:lineRule="exact"/>
        <w:ind w:left="1598" w:leftChars="304" w:hanging="960" w:hangingChars="300"/>
        <w:outlineLvl w:val="0"/>
        <w:rPr>
          <w:rFonts w:ascii="仿宋" w:hAnsi="仿宋" w:eastAsia="仿宋" w:cs="仿宋"/>
          <w:kern w:val="0"/>
          <w:sz w:val="32"/>
          <w:szCs w:val="32"/>
        </w:rPr>
      </w:pPr>
      <w:bookmarkStart w:id="79" w:name="_Toc1521"/>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79"/>
    </w:p>
    <w:bookmarkEnd w:id="61"/>
    <w:bookmarkEnd w:id="62"/>
    <w:bookmarkEnd w:id="63"/>
    <w:bookmarkEnd w:id="64"/>
    <w:bookmarkEnd w:id="65"/>
    <w:bookmarkEnd w:id="66"/>
    <w:bookmarkEnd w:id="67"/>
    <w:bookmarkEnd w:id="68"/>
    <w:p w14:paraId="78922E4C">
      <w:pPr>
        <w:spacing w:line="360" w:lineRule="auto"/>
        <w:rPr>
          <w:rFonts w:ascii="仿宋" w:hAnsi="仿宋" w:eastAsia="仿宋" w:cs="仿宋"/>
          <w:bCs/>
          <w:kern w:val="0"/>
          <w:sz w:val="32"/>
          <w:szCs w:val="32"/>
        </w:rPr>
      </w:pPr>
    </w:p>
    <w:p w14:paraId="6D5C611F">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7205B929">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5"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12C5E931">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5B9695BC">
      <w:pPr>
        <w:spacing w:line="600" w:lineRule="exact"/>
        <w:jc w:val="center"/>
        <w:rPr>
          <w:rFonts w:hint="eastAsia" w:ascii="仿宋" w:hAnsi="仿宋" w:eastAsia="仿宋" w:cs="仿宋"/>
          <w:b/>
          <w:bCs/>
          <w:kern w:val="0"/>
          <w:sz w:val="40"/>
          <w:szCs w:val="40"/>
          <w:lang w:val="en-US" w:eastAsia="zh-CN"/>
        </w:rPr>
      </w:pPr>
      <w:r>
        <w:rPr>
          <w:rFonts w:hint="eastAsia" w:ascii="仿宋" w:hAnsi="仿宋" w:eastAsia="仿宋" w:cs="仿宋"/>
          <w:b/>
          <w:bCs/>
          <w:kern w:val="0"/>
          <w:sz w:val="40"/>
          <w:szCs w:val="40"/>
          <w:lang w:val="en-US" w:eastAsia="zh-CN"/>
        </w:rPr>
        <w:t>应急广播建设县级补助及运维费绩效评价指标体系打分表</w:t>
      </w:r>
    </w:p>
    <w:tbl>
      <w:tblPr>
        <w:tblStyle w:val="13"/>
        <w:tblW w:w="13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720"/>
        <w:gridCol w:w="675"/>
        <w:gridCol w:w="720"/>
        <w:gridCol w:w="1202"/>
        <w:gridCol w:w="750"/>
        <w:gridCol w:w="975"/>
        <w:gridCol w:w="4815"/>
        <w:gridCol w:w="1243"/>
        <w:gridCol w:w="960"/>
        <w:gridCol w:w="1172"/>
      </w:tblGrid>
      <w:tr w14:paraId="369E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3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4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F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C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0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2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A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A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55C4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C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8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F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C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5555">
            <w:pPr>
              <w:jc w:val="center"/>
              <w:rPr>
                <w:rFonts w:hint="eastAsia" w:ascii="宋体" w:hAnsi="宋体" w:eastAsia="宋体" w:cs="宋体"/>
                <w:i w:val="0"/>
                <w:iCs w:val="0"/>
                <w:color w:val="000000"/>
                <w:sz w:val="22"/>
                <w:szCs w:val="22"/>
                <w:u w:val="none"/>
              </w:rPr>
            </w:pP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E5AF">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D8C7">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CD6A">
            <w:pPr>
              <w:jc w:val="center"/>
              <w:rPr>
                <w:rFonts w:hint="eastAsia" w:ascii="宋体" w:hAnsi="宋体" w:eastAsia="宋体" w:cs="宋体"/>
                <w:i w:val="0"/>
                <w:iCs w:val="0"/>
                <w:color w:val="000000"/>
                <w:sz w:val="22"/>
                <w:szCs w:val="22"/>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BE03">
            <w:pPr>
              <w:jc w:val="center"/>
              <w:rPr>
                <w:rFonts w:hint="eastAsia" w:ascii="宋体" w:hAnsi="宋体" w:eastAsia="宋体" w:cs="宋体"/>
                <w:i w:val="0"/>
                <w:iCs w:val="0"/>
                <w:color w:val="000000"/>
                <w:sz w:val="22"/>
                <w:szCs w:val="22"/>
                <w:u w:val="none"/>
              </w:rPr>
            </w:pPr>
          </w:p>
        </w:tc>
      </w:tr>
      <w:tr w14:paraId="2998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D2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90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7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37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13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9D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5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F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1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9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2D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6067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C7F2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1AD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1664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EC16">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FF362">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6FE93">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3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A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5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152F">
            <w:pPr>
              <w:jc w:val="center"/>
              <w:rPr>
                <w:rFonts w:hint="eastAsia" w:ascii="宋体" w:hAnsi="宋体" w:eastAsia="宋体" w:cs="宋体"/>
                <w:i w:val="0"/>
                <w:iCs w:val="0"/>
                <w:color w:val="000000"/>
                <w:sz w:val="22"/>
                <w:szCs w:val="22"/>
                <w:u w:val="none"/>
              </w:rPr>
            </w:pPr>
          </w:p>
        </w:tc>
      </w:tr>
      <w:tr w14:paraId="5840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3841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4DB85">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ABC8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946F">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C40B1">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0B63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1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F72A">
            <w:pPr>
              <w:jc w:val="center"/>
              <w:rPr>
                <w:rFonts w:hint="eastAsia" w:ascii="宋体" w:hAnsi="宋体" w:eastAsia="宋体" w:cs="宋体"/>
                <w:i w:val="0"/>
                <w:iCs w:val="0"/>
                <w:color w:val="000000"/>
                <w:sz w:val="22"/>
                <w:szCs w:val="22"/>
                <w:u w:val="none"/>
              </w:rPr>
            </w:pPr>
          </w:p>
        </w:tc>
      </w:tr>
      <w:tr w14:paraId="7F6C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0FA2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66AD9">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CEE0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B9ED">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4A0F4">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CE5CA">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4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3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8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B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4F186">
            <w:pPr>
              <w:jc w:val="center"/>
              <w:rPr>
                <w:rFonts w:hint="eastAsia" w:ascii="宋体" w:hAnsi="宋体" w:eastAsia="宋体" w:cs="宋体"/>
                <w:i w:val="0"/>
                <w:iCs w:val="0"/>
                <w:color w:val="000000"/>
                <w:sz w:val="22"/>
                <w:szCs w:val="22"/>
                <w:u w:val="none"/>
              </w:rPr>
            </w:pPr>
          </w:p>
        </w:tc>
      </w:tr>
      <w:tr w14:paraId="28526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1A65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72289">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E2F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7F4C9">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47F58">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6141D">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A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A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4FBFF">
            <w:pPr>
              <w:jc w:val="center"/>
              <w:rPr>
                <w:rFonts w:hint="eastAsia" w:ascii="宋体" w:hAnsi="宋体" w:eastAsia="宋体" w:cs="宋体"/>
                <w:i w:val="0"/>
                <w:iCs w:val="0"/>
                <w:color w:val="000000"/>
                <w:sz w:val="22"/>
                <w:szCs w:val="22"/>
                <w:u w:val="none"/>
              </w:rPr>
            </w:pPr>
          </w:p>
        </w:tc>
      </w:tr>
      <w:tr w14:paraId="45FC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C351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8B15">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227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2E4A7">
            <w:pPr>
              <w:jc w:val="center"/>
              <w:rPr>
                <w:rFonts w:hint="eastAsia" w:ascii="宋体" w:hAnsi="宋体" w:eastAsia="宋体" w:cs="宋体"/>
                <w:i w:val="0"/>
                <w:iCs w:val="0"/>
                <w:color w:val="000000"/>
                <w:sz w:val="22"/>
                <w:szCs w:val="22"/>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5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09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B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C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4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2F91">
            <w:pPr>
              <w:jc w:val="center"/>
              <w:rPr>
                <w:rFonts w:hint="eastAsia" w:ascii="宋体" w:hAnsi="宋体" w:eastAsia="宋体" w:cs="宋体"/>
                <w:i w:val="0"/>
                <w:iCs w:val="0"/>
                <w:color w:val="000000"/>
                <w:sz w:val="22"/>
                <w:szCs w:val="22"/>
                <w:u w:val="none"/>
              </w:rPr>
            </w:pPr>
          </w:p>
        </w:tc>
      </w:tr>
      <w:tr w14:paraId="1B5B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A547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00F28">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C14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1AC0">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6D690">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595DC">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3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3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6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5EA42">
            <w:pPr>
              <w:jc w:val="center"/>
              <w:rPr>
                <w:rFonts w:hint="eastAsia" w:ascii="宋体" w:hAnsi="宋体" w:eastAsia="宋体" w:cs="宋体"/>
                <w:i w:val="0"/>
                <w:iCs w:val="0"/>
                <w:color w:val="000000"/>
                <w:sz w:val="22"/>
                <w:szCs w:val="22"/>
                <w:u w:val="none"/>
              </w:rPr>
            </w:pPr>
          </w:p>
        </w:tc>
      </w:tr>
      <w:tr w14:paraId="69A4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B53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27965">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5CCA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F464">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A0D81">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B3956">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4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E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C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A490F">
            <w:pPr>
              <w:jc w:val="center"/>
              <w:rPr>
                <w:rFonts w:hint="eastAsia" w:ascii="宋体" w:hAnsi="宋体" w:eastAsia="宋体" w:cs="宋体"/>
                <w:i w:val="0"/>
                <w:iCs w:val="0"/>
                <w:color w:val="000000"/>
                <w:sz w:val="22"/>
                <w:szCs w:val="22"/>
                <w:u w:val="none"/>
              </w:rPr>
            </w:pPr>
          </w:p>
        </w:tc>
      </w:tr>
      <w:tr w14:paraId="2D13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4C53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3625A">
            <w:pPr>
              <w:jc w:val="center"/>
              <w:rPr>
                <w:rFonts w:hint="eastAsia" w:ascii="宋体" w:hAnsi="宋体" w:eastAsia="宋体" w:cs="宋体"/>
                <w:i w:val="0"/>
                <w:iCs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2A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56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4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9F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8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C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006A0">
            <w:pPr>
              <w:jc w:val="center"/>
              <w:rPr>
                <w:rFonts w:hint="eastAsia" w:ascii="宋体" w:hAnsi="宋体" w:eastAsia="宋体" w:cs="宋体"/>
                <w:i w:val="0"/>
                <w:iCs w:val="0"/>
                <w:color w:val="000000"/>
                <w:sz w:val="22"/>
                <w:szCs w:val="22"/>
                <w:u w:val="none"/>
              </w:rPr>
            </w:pPr>
          </w:p>
        </w:tc>
      </w:tr>
      <w:tr w14:paraId="6E13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EEB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6F7B">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B89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8CCEE">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4F453">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EAFE0">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5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C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2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65150">
            <w:pPr>
              <w:jc w:val="center"/>
              <w:rPr>
                <w:rFonts w:hint="eastAsia" w:ascii="宋体" w:hAnsi="宋体" w:eastAsia="宋体" w:cs="宋体"/>
                <w:i w:val="0"/>
                <w:iCs w:val="0"/>
                <w:color w:val="000000"/>
                <w:sz w:val="22"/>
                <w:szCs w:val="22"/>
                <w:u w:val="none"/>
              </w:rPr>
            </w:pPr>
          </w:p>
        </w:tc>
      </w:tr>
      <w:tr w14:paraId="102E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7462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BCDB">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8AB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B4712">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65161">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47B56">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E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5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4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2E47">
            <w:pPr>
              <w:jc w:val="center"/>
              <w:rPr>
                <w:rFonts w:hint="eastAsia" w:ascii="宋体" w:hAnsi="宋体" w:eastAsia="宋体" w:cs="宋体"/>
                <w:i w:val="0"/>
                <w:iCs w:val="0"/>
                <w:color w:val="000000"/>
                <w:sz w:val="22"/>
                <w:szCs w:val="22"/>
                <w:u w:val="none"/>
              </w:rPr>
            </w:pPr>
          </w:p>
        </w:tc>
      </w:tr>
      <w:tr w14:paraId="4ED8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34E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A441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76B1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FAA7">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A3C7">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9469">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D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0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2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6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6644">
            <w:pPr>
              <w:jc w:val="center"/>
              <w:rPr>
                <w:rFonts w:hint="eastAsia" w:ascii="宋体" w:hAnsi="宋体" w:eastAsia="宋体" w:cs="宋体"/>
                <w:i w:val="0"/>
                <w:iCs w:val="0"/>
                <w:color w:val="000000"/>
                <w:sz w:val="22"/>
                <w:szCs w:val="22"/>
                <w:u w:val="none"/>
              </w:rPr>
            </w:pPr>
          </w:p>
        </w:tc>
      </w:tr>
      <w:tr w14:paraId="206A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49ED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E18FB">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D04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1A632">
            <w:pPr>
              <w:jc w:val="center"/>
              <w:rPr>
                <w:rFonts w:hint="eastAsia" w:ascii="宋体" w:hAnsi="宋体" w:eastAsia="宋体" w:cs="宋体"/>
                <w:i w:val="0"/>
                <w:iCs w:val="0"/>
                <w:color w:val="000000"/>
                <w:sz w:val="22"/>
                <w:szCs w:val="22"/>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74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83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2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3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F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A462">
            <w:pPr>
              <w:jc w:val="center"/>
              <w:rPr>
                <w:rFonts w:hint="eastAsia" w:ascii="宋体" w:hAnsi="宋体" w:eastAsia="宋体" w:cs="宋体"/>
                <w:i w:val="0"/>
                <w:iCs w:val="0"/>
                <w:color w:val="000000"/>
                <w:sz w:val="22"/>
                <w:szCs w:val="22"/>
                <w:u w:val="none"/>
              </w:rPr>
            </w:pPr>
          </w:p>
        </w:tc>
      </w:tr>
      <w:tr w14:paraId="7427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5975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838C0">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04F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C7CD">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26B4B">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9B880">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E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0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8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617C">
            <w:pPr>
              <w:jc w:val="center"/>
              <w:rPr>
                <w:rFonts w:hint="eastAsia" w:ascii="宋体" w:hAnsi="宋体" w:eastAsia="宋体" w:cs="宋体"/>
                <w:i w:val="0"/>
                <w:iCs w:val="0"/>
                <w:color w:val="000000"/>
                <w:sz w:val="22"/>
                <w:szCs w:val="22"/>
                <w:u w:val="none"/>
              </w:rPr>
            </w:pPr>
          </w:p>
        </w:tc>
      </w:tr>
      <w:tr w14:paraId="32E2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53E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B544">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6EB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D591">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7635C">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8EFAB">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0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2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B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F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C1384">
            <w:pPr>
              <w:jc w:val="center"/>
              <w:rPr>
                <w:rFonts w:hint="eastAsia" w:ascii="宋体" w:hAnsi="宋体" w:eastAsia="宋体" w:cs="宋体"/>
                <w:i w:val="0"/>
                <w:iCs w:val="0"/>
                <w:color w:val="000000"/>
                <w:sz w:val="22"/>
                <w:szCs w:val="22"/>
                <w:u w:val="none"/>
              </w:rPr>
            </w:pPr>
          </w:p>
        </w:tc>
      </w:tr>
      <w:tr w14:paraId="12BF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AAC0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66C82">
            <w:pPr>
              <w:jc w:val="center"/>
              <w:rPr>
                <w:rFonts w:hint="eastAsia" w:ascii="宋体" w:hAnsi="宋体" w:eastAsia="宋体" w:cs="宋体"/>
                <w:i w:val="0"/>
                <w:iCs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FB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8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2C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B1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0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D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7E72">
            <w:pPr>
              <w:jc w:val="center"/>
              <w:rPr>
                <w:rFonts w:hint="eastAsia" w:ascii="宋体" w:hAnsi="宋体" w:eastAsia="宋体" w:cs="宋体"/>
                <w:i w:val="0"/>
                <w:iCs w:val="0"/>
                <w:color w:val="000000"/>
                <w:sz w:val="22"/>
                <w:szCs w:val="22"/>
                <w:u w:val="none"/>
              </w:rPr>
            </w:pPr>
          </w:p>
        </w:tc>
      </w:tr>
      <w:tr w14:paraId="51B5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8644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6341A">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AFF6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5D925">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219E">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B82D">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C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0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5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265E">
            <w:pPr>
              <w:jc w:val="center"/>
              <w:rPr>
                <w:rFonts w:hint="eastAsia" w:ascii="宋体" w:hAnsi="宋体" w:eastAsia="宋体" w:cs="宋体"/>
                <w:i w:val="0"/>
                <w:iCs w:val="0"/>
                <w:color w:val="000000"/>
                <w:sz w:val="22"/>
                <w:szCs w:val="22"/>
                <w:u w:val="none"/>
              </w:rPr>
            </w:pPr>
          </w:p>
        </w:tc>
      </w:tr>
      <w:tr w14:paraId="3A16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35B7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A4DEB">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80A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E5E6">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3B183">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3576">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E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E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C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17E3">
            <w:pPr>
              <w:jc w:val="center"/>
              <w:rPr>
                <w:rFonts w:hint="eastAsia" w:ascii="宋体" w:hAnsi="宋体" w:eastAsia="宋体" w:cs="宋体"/>
                <w:i w:val="0"/>
                <w:iCs w:val="0"/>
                <w:color w:val="000000"/>
                <w:sz w:val="22"/>
                <w:szCs w:val="22"/>
                <w:u w:val="none"/>
              </w:rPr>
            </w:pPr>
          </w:p>
        </w:tc>
      </w:tr>
      <w:tr w14:paraId="27B2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4742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2E7BE">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F62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52A8">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BD06B">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693D9">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D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4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D044F">
            <w:pPr>
              <w:jc w:val="center"/>
              <w:rPr>
                <w:rFonts w:hint="eastAsia" w:ascii="宋体" w:hAnsi="宋体" w:eastAsia="宋体" w:cs="宋体"/>
                <w:i w:val="0"/>
                <w:iCs w:val="0"/>
                <w:color w:val="000000"/>
                <w:sz w:val="22"/>
                <w:szCs w:val="22"/>
                <w:u w:val="none"/>
              </w:rPr>
            </w:pPr>
          </w:p>
        </w:tc>
      </w:tr>
      <w:tr w14:paraId="236C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AF9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546A">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D165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0E26">
            <w:pPr>
              <w:jc w:val="center"/>
              <w:rPr>
                <w:rFonts w:hint="eastAsia" w:ascii="宋体" w:hAnsi="宋体" w:eastAsia="宋体" w:cs="宋体"/>
                <w:i w:val="0"/>
                <w:iCs w:val="0"/>
                <w:color w:val="000000"/>
                <w:sz w:val="22"/>
                <w:szCs w:val="22"/>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CB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B8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2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6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D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CE648">
            <w:pPr>
              <w:jc w:val="center"/>
              <w:rPr>
                <w:rFonts w:hint="eastAsia" w:ascii="宋体" w:hAnsi="宋体" w:eastAsia="宋体" w:cs="宋体"/>
                <w:i w:val="0"/>
                <w:iCs w:val="0"/>
                <w:color w:val="000000"/>
                <w:sz w:val="22"/>
                <w:szCs w:val="22"/>
                <w:u w:val="none"/>
              </w:rPr>
            </w:pPr>
          </w:p>
        </w:tc>
      </w:tr>
      <w:tr w14:paraId="05ED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48E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7C797">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83B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0307">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5D22">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EEC9">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E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B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C5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334D">
            <w:pPr>
              <w:jc w:val="center"/>
              <w:rPr>
                <w:rFonts w:hint="eastAsia" w:ascii="宋体" w:hAnsi="宋体" w:eastAsia="宋体" w:cs="宋体"/>
                <w:i w:val="0"/>
                <w:iCs w:val="0"/>
                <w:color w:val="000000"/>
                <w:sz w:val="22"/>
                <w:szCs w:val="22"/>
                <w:u w:val="none"/>
              </w:rPr>
            </w:pPr>
          </w:p>
        </w:tc>
      </w:tr>
      <w:tr w14:paraId="2A3E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9D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B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8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F9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7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C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5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5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1E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0DFD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777F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E9783">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8BFC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D5763">
            <w:pPr>
              <w:jc w:val="center"/>
              <w:rPr>
                <w:rFonts w:hint="eastAsia" w:ascii="宋体" w:hAnsi="宋体" w:eastAsia="宋体" w:cs="宋体"/>
                <w:i w:val="0"/>
                <w:iCs w:val="0"/>
                <w:color w:val="000000"/>
                <w:sz w:val="22"/>
                <w:szCs w:val="22"/>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D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1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A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2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B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2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55C0">
            <w:pPr>
              <w:jc w:val="center"/>
              <w:rPr>
                <w:rFonts w:hint="eastAsia" w:ascii="宋体" w:hAnsi="宋体" w:eastAsia="宋体" w:cs="宋体"/>
                <w:i w:val="0"/>
                <w:iCs w:val="0"/>
                <w:color w:val="000000"/>
                <w:sz w:val="22"/>
                <w:szCs w:val="22"/>
                <w:u w:val="none"/>
              </w:rPr>
            </w:pPr>
          </w:p>
        </w:tc>
      </w:tr>
      <w:tr w14:paraId="6AE3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D3C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98C3">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3DF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9A1E">
            <w:pPr>
              <w:jc w:val="center"/>
              <w:rPr>
                <w:rFonts w:hint="eastAsia" w:ascii="宋体" w:hAnsi="宋体" w:eastAsia="宋体" w:cs="宋体"/>
                <w:i w:val="0"/>
                <w:iCs w:val="0"/>
                <w:color w:val="000000"/>
                <w:sz w:val="22"/>
                <w:szCs w:val="22"/>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90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2E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E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5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6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E4C6A">
            <w:pPr>
              <w:jc w:val="center"/>
              <w:rPr>
                <w:rFonts w:hint="eastAsia" w:ascii="宋体" w:hAnsi="宋体" w:eastAsia="宋体" w:cs="宋体"/>
                <w:i w:val="0"/>
                <w:iCs w:val="0"/>
                <w:color w:val="000000"/>
                <w:sz w:val="22"/>
                <w:szCs w:val="22"/>
                <w:u w:val="none"/>
              </w:rPr>
            </w:pPr>
          </w:p>
        </w:tc>
      </w:tr>
      <w:tr w14:paraId="25C8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4FA1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BAA7">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0127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4DD7A">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B765">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DB8A">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C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4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C2369">
            <w:pPr>
              <w:jc w:val="center"/>
              <w:rPr>
                <w:rFonts w:hint="eastAsia" w:ascii="宋体" w:hAnsi="宋体" w:eastAsia="宋体" w:cs="宋体"/>
                <w:i w:val="0"/>
                <w:iCs w:val="0"/>
                <w:color w:val="000000"/>
                <w:sz w:val="22"/>
                <w:szCs w:val="22"/>
                <w:u w:val="none"/>
              </w:rPr>
            </w:pPr>
          </w:p>
        </w:tc>
      </w:tr>
      <w:tr w14:paraId="54D2B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6390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6EF88">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B93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D931C">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8691">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0F42">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A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7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4F25">
            <w:pPr>
              <w:jc w:val="center"/>
              <w:rPr>
                <w:rFonts w:hint="eastAsia" w:ascii="宋体" w:hAnsi="宋体" w:eastAsia="宋体" w:cs="宋体"/>
                <w:i w:val="0"/>
                <w:iCs w:val="0"/>
                <w:color w:val="000000"/>
                <w:sz w:val="22"/>
                <w:szCs w:val="22"/>
                <w:u w:val="none"/>
              </w:rPr>
            </w:pPr>
          </w:p>
        </w:tc>
      </w:tr>
      <w:tr w14:paraId="3679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C5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6FD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67C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8011">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C90FC">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1C1B">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3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C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F32D5">
            <w:pPr>
              <w:jc w:val="center"/>
              <w:rPr>
                <w:rFonts w:hint="eastAsia" w:ascii="宋体" w:hAnsi="宋体" w:eastAsia="宋体" w:cs="宋体"/>
                <w:i w:val="0"/>
                <w:iCs w:val="0"/>
                <w:color w:val="000000"/>
                <w:sz w:val="22"/>
                <w:szCs w:val="22"/>
                <w:u w:val="none"/>
              </w:rPr>
            </w:pPr>
          </w:p>
        </w:tc>
      </w:tr>
      <w:tr w14:paraId="3F1A6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7E6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1C8CA">
            <w:pPr>
              <w:jc w:val="center"/>
              <w:rPr>
                <w:rFonts w:hint="eastAsia" w:ascii="宋体" w:hAnsi="宋体" w:eastAsia="宋体" w:cs="宋体"/>
                <w:i w:val="0"/>
                <w:iCs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64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69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86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D8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4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C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2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33D1">
            <w:pPr>
              <w:jc w:val="center"/>
              <w:rPr>
                <w:rFonts w:hint="eastAsia" w:ascii="宋体" w:hAnsi="宋体" w:eastAsia="宋体" w:cs="宋体"/>
                <w:i w:val="0"/>
                <w:iCs w:val="0"/>
                <w:color w:val="000000"/>
                <w:sz w:val="22"/>
                <w:szCs w:val="22"/>
                <w:u w:val="none"/>
              </w:rPr>
            </w:pPr>
          </w:p>
        </w:tc>
      </w:tr>
      <w:tr w14:paraId="02F4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FBF1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7AA7">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914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05EE">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B80B0">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74D7">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E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1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5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307F2">
            <w:pPr>
              <w:jc w:val="center"/>
              <w:rPr>
                <w:rFonts w:hint="eastAsia" w:ascii="宋体" w:hAnsi="宋体" w:eastAsia="宋体" w:cs="宋体"/>
                <w:i w:val="0"/>
                <w:iCs w:val="0"/>
                <w:color w:val="000000"/>
                <w:sz w:val="22"/>
                <w:szCs w:val="22"/>
                <w:u w:val="none"/>
              </w:rPr>
            </w:pPr>
          </w:p>
        </w:tc>
      </w:tr>
      <w:tr w14:paraId="15F9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384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B7D86">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D7B6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D6838">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AF9D">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C8FD">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4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A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9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6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47047">
            <w:pPr>
              <w:jc w:val="center"/>
              <w:rPr>
                <w:rFonts w:hint="eastAsia" w:ascii="宋体" w:hAnsi="宋体" w:eastAsia="宋体" w:cs="宋体"/>
                <w:i w:val="0"/>
                <w:iCs w:val="0"/>
                <w:color w:val="000000"/>
                <w:sz w:val="22"/>
                <w:szCs w:val="22"/>
                <w:u w:val="none"/>
              </w:rPr>
            </w:pPr>
          </w:p>
        </w:tc>
      </w:tr>
      <w:tr w14:paraId="21D9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FD3E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E3C7">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F878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41955">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E2FF5">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911D0">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E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1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3DAE8">
            <w:pPr>
              <w:jc w:val="center"/>
              <w:rPr>
                <w:rFonts w:hint="eastAsia" w:ascii="宋体" w:hAnsi="宋体" w:eastAsia="宋体" w:cs="宋体"/>
                <w:i w:val="0"/>
                <w:iCs w:val="0"/>
                <w:color w:val="000000"/>
                <w:sz w:val="22"/>
                <w:szCs w:val="22"/>
                <w:u w:val="none"/>
              </w:rPr>
            </w:pPr>
          </w:p>
        </w:tc>
      </w:tr>
      <w:tr w14:paraId="3F2D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435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F7D3">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A1EA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2C74">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D1539">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2524">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5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B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A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0EDC">
            <w:pPr>
              <w:jc w:val="center"/>
              <w:rPr>
                <w:rFonts w:hint="eastAsia" w:ascii="宋体" w:hAnsi="宋体" w:eastAsia="宋体" w:cs="宋体"/>
                <w:i w:val="0"/>
                <w:iCs w:val="0"/>
                <w:color w:val="000000"/>
                <w:sz w:val="22"/>
                <w:szCs w:val="22"/>
                <w:u w:val="none"/>
              </w:rPr>
            </w:pPr>
          </w:p>
        </w:tc>
      </w:tr>
      <w:tr w14:paraId="489B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A7CE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C56F">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3D1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607E">
            <w:pPr>
              <w:jc w:val="center"/>
              <w:rPr>
                <w:rFonts w:hint="eastAsia" w:ascii="宋体" w:hAnsi="宋体" w:eastAsia="宋体" w:cs="宋体"/>
                <w:i w:val="0"/>
                <w:iCs w:val="0"/>
                <w:color w:val="000000"/>
                <w:sz w:val="22"/>
                <w:szCs w:val="22"/>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28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27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5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7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未制定业务管理制度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1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F980C">
            <w:pPr>
              <w:jc w:val="center"/>
              <w:rPr>
                <w:rFonts w:hint="eastAsia" w:ascii="宋体" w:hAnsi="宋体" w:eastAsia="宋体" w:cs="宋体"/>
                <w:i w:val="0"/>
                <w:iCs w:val="0"/>
                <w:color w:val="000000"/>
                <w:sz w:val="22"/>
                <w:szCs w:val="22"/>
                <w:u w:val="none"/>
              </w:rPr>
            </w:pPr>
          </w:p>
        </w:tc>
      </w:tr>
      <w:tr w14:paraId="1C48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E4E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9FBC4">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EBEA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41D0">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7BC0">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578C">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D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3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未制定业务管理制度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C2A67">
            <w:pPr>
              <w:jc w:val="center"/>
              <w:rPr>
                <w:rFonts w:hint="eastAsia" w:ascii="宋体" w:hAnsi="宋体" w:eastAsia="宋体" w:cs="宋体"/>
                <w:i w:val="0"/>
                <w:iCs w:val="0"/>
                <w:color w:val="000000"/>
                <w:sz w:val="22"/>
                <w:szCs w:val="22"/>
                <w:u w:val="none"/>
              </w:rPr>
            </w:pPr>
          </w:p>
        </w:tc>
      </w:tr>
      <w:tr w14:paraId="6E6FE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63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B30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D59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CAD6">
            <w:pPr>
              <w:jc w:val="center"/>
              <w:rPr>
                <w:rFonts w:hint="eastAsia" w:ascii="宋体" w:hAnsi="宋体" w:eastAsia="宋体" w:cs="宋体"/>
                <w:i w:val="0"/>
                <w:iCs w:val="0"/>
                <w:color w:val="000000"/>
                <w:sz w:val="22"/>
                <w:szCs w:val="22"/>
                <w:u w:val="none"/>
              </w:rPr>
            </w:pP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D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ED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F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4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3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25A5C">
            <w:pPr>
              <w:jc w:val="center"/>
              <w:rPr>
                <w:rFonts w:hint="eastAsia" w:ascii="宋体" w:hAnsi="宋体" w:eastAsia="宋体" w:cs="宋体"/>
                <w:i w:val="0"/>
                <w:iCs w:val="0"/>
                <w:color w:val="000000"/>
                <w:sz w:val="22"/>
                <w:szCs w:val="22"/>
                <w:u w:val="none"/>
              </w:rPr>
            </w:pPr>
          </w:p>
        </w:tc>
      </w:tr>
      <w:tr w14:paraId="4CD2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D158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1C62">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CAB3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1ED53">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ABDB">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083B">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A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2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7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2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A7D5">
            <w:pPr>
              <w:jc w:val="center"/>
              <w:rPr>
                <w:rFonts w:hint="eastAsia" w:ascii="宋体" w:hAnsi="宋体" w:eastAsia="宋体" w:cs="宋体"/>
                <w:i w:val="0"/>
                <w:iCs w:val="0"/>
                <w:color w:val="000000"/>
                <w:sz w:val="22"/>
                <w:szCs w:val="22"/>
                <w:u w:val="none"/>
              </w:rPr>
            </w:pPr>
          </w:p>
        </w:tc>
      </w:tr>
      <w:tr w14:paraId="2458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16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F2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4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C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F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应急广播建设县级补助及运行维护经费实际完成率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C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B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AD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2023年应急广播县级补助及运维费132.176万元，主要用于支付应急广播二期建设项目，实际完成率：按照{已完成工作进度}/{计划工作进度}*100%得出指标值，按照（指标值-（60%））/（（100%）-（60%））× 赋分值得分。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D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C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F5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70A3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C11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50F0">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F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7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应急广播建设县级补助及运行维护经费质量合格率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F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8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A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2023年应急广播县级补助及运维费132.176万元，主要用于支付应急广播二期建设项目，验收合格率：按照{经费项目质量达标项目数}/1*100%得出指标值，按照（指标值-（60%））/（（100%）-（60%））× 赋分值得分。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A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EB61E">
            <w:pPr>
              <w:jc w:val="center"/>
              <w:rPr>
                <w:rFonts w:hint="eastAsia" w:ascii="宋体" w:hAnsi="宋体" w:eastAsia="宋体" w:cs="宋体"/>
                <w:i w:val="0"/>
                <w:iCs w:val="0"/>
                <w:color w:val="000000"/>
                <w:sz w:val="22"/>
                <w:szCs w:val="22"/>
                <w:u w:val="none"/>
              </w:rPr>
            </w:pPr>
          </w:p>
        </w:tc>
      </w:tr>
      <w:tr w14:paraId="3956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01B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8D564">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A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9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B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应急广播建设县级补助及运行维护经费完成及时率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0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8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2023年应急广播县级补助及运维费132.176万元，主要用于支付应急广播二期建设项目，完成及时率：按照{已完成工作进度}/{计划工作进度}*100%得出指标值，按照（指标值-（60%））/（（100%）-（60%））× 赋分值得分。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D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8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DF46C">
            <w:pPr>
              <w:jc w:val="center"/>
              <w:rPr>
                <w:rFonts w:hint="eastAsia" w:ascii="宋体" w:hAnsi="宋体" w:eastAsia="宋体" w:cs="宋体"/>
                <w:i w:val="0"/>
                <w:iCs w:val="0"/>
                <w:color w:val="000000"/>
                <w:sz w:val="22"/>
                <w:szCs w:val="22"/>
                <w:u w:val="none"/>
              </w:rPr>
            </w:pPr>
          </w:p>
        </w:tc>
      </w:tr>
      <w:tr w14:paraId="74EC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D00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28F4">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B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0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9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应急广播建设县级补助及运行维护经费成本节约率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1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应急广播县级补助及运维费132.176万元，主要用于支付应急广播二期建设项目，成本节约率：按照({经费项目计划支出}-{经费项目预计支出})/{经费项目计划支出}*100%得出指标值，按照（指标值-（-10%））/（（0%）-（-10%））× 赋分值得分。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5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F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122A1">
            <w:pPr>
              <w:jc w:val="center"/>
              <w:rPr>
                <w:rFonts w:hint="eastAsia" w:ascii="宋体" w:hAnsi="宋体" w:eastAsia="宋体" w:cs="宋体"/>
                <w:i w:val="0"/>
                <w:iCs w:val="0"/>
                <w:color w:val="000000"/>
                <w:sz w:val="22"/>
                <w:szCs w:val="22"/>
                <w:u w:val="none"/>
              </w:rPr>
            </w:pPr>
          </w:p>
        </w:tc>
      </w:tr>
      <w:tr w14:paraId="6E6B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66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4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2E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7F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F1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丰富群众精神生活，提高应急响应效率，促进信息普及和共享</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70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C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丰富群众的精神生活，提升生活品质：按照*&lt;计算公式&gt;*得出指标值，按照*&lt;得分公式&gt;*得分。达成目标得100%分，基本达成目标得75%分，部分实现目标得50%分，实现程度较低得25%分，实现程度低得0%分。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4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6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90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54E9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B5A3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D7BD">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21E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30A11">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0FBC">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499A">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B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确保在紧急情况下能够迅速、准确地传递重要信息，提高应急响应的效率。：按照*&lt;计算公式&gt;*得出指标值，按照*&lt;得分公式&gt;*得分。达成目标得100%分，基本达成目标得75%分，部分实现目标得50%分，实现程度较低得25%分，实现程度低得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6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1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10F3">
            <w:pPr>
              <w:jc w:val="center"/>
              <w:rPr>
                <w:rFonts w:hint="eastAsia" w:ascii="宋体" w:hAnsi="宋体" w:eastAsia="宋体" w:cs="宋体"/>
                <w:i w:val="0"/>
                <w:iCs w:val="0"/>
                <w:color w:val="000000"/>
                <w:sz w:val="22"/>
                <w:szCs w:val="22"/>
                <w:u w:val="none"/>
              </w:rPr>
            </w:pPr>
          </w:p>
        </w:tc>
      </w:tr>
      <w:tr w14:paraId="22CB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9AA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7271">
            <w:pPr>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9AA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7B32">
            <w:pPr>
              <w:jc w:val="center"/>
              <w:rPr>
                <w:rFonts w:hint="eastAsia" w:ascii="宋体" w:hAnsi="宋体" w:eastAsia="宋体" w:cs="宋体"/>
                <w:i w:val="0"/>
                <w:iCs w:val="0"/>
                <w:color w:val="000000"/>
                <w:sz w:val="22"/>
                <w:szCs w:val="22"/>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45C3F">
            <w:pPr>
              <w:jc w:val="center"/>
              <w:rPr>
                <w:rFonts w:hint="eastAsia" w:ascii="宋体" w:hAnsi="宋体" w:eastAsia="宋体" w:cs="宋体"/>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729B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6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7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群众收听收看中省市县节目需求，帮助群众了解政策、学习知识、获取市场信息等，促进信息的普及和共享。：按照*&lt;计算公式&gt;*得出指标值，按照*&lt;得分公式&gt;*得分。达成目标得100%分，基本达成目标得75%分，部分实现目标得50%分，实现程度较低得25%分，实现程度低得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7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F1EB">
            <w:pPr>
              <w:jc w:val="center"/>
              <w:rPr>
                <w:rFonts w:hint="eastAsia" w:ascii="宋体" w:hAnsi="宋体" w:eastAsia="宋体" w:cs="宋体"/>
                <w:i w:val="0"/>
                <w:iCs w:val="0"/>
                <w:color w:val="000000"/>
                <w:sz w:val="22"/>
                <w:szCs w:val="22"/>
                <w:u w:val="none"/>
              </w:rPr>
            </w:pPr>
          </w:p>
        </w:tc>
      </w:tr>
      <w:tr w14:paraId="35BB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5C1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4ADD9">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D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F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7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8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9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受益对象满意度：按照*&lt;计算公式&gt;*得出指标值，按照*&lt;得分公式&gt;*得分。满意得100%分，较满意得80%分，基本满意得60%分，较不满意得30%分，不满意得0%分。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C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B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78973">
            <w:pPr>
              <w:jc w:val="center"/>
              <w:rPr>
                <w:rFonts w:hint="eastAsia" w:ascii="宋体" w:hAnsi="宋体" w:eastAsia="宋体" w:cs="宋体"/>
                <w:i w:val="0"/>
                <w:iCs w:val="0"/>
                <w:color w:val="000000"/>
                <w:sz w:val="22"/>
                <w:szCs w:val="22"/>
                <w:u w:val="none"/>
              </w:rPr>
            </w:pPr>
          </w:p>
        </w:tc>
      </w:tr>
      <w:tr w14:paraId="329D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4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F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E8E5">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1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5CBE">
            <w:pP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C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6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5263">
            <w:pP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974D">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3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E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r>
    </w:tbl>
    <w:p w14:paraId="76FDA19D">
      <w:pPr>
        <w:spacing w:line="600" w:lineRule="exact"/>
        <w:jc w:val="both"/>
        <w:rPr>
          <w:rFonts w:hint="eastAsia" w:ascii="仿宋" w:hAnsi="仿宋" w:eastAsia="仿宋" w:cs="仿宋"/>
          <w:kern w:val="0"/>
          <w:sz w:val="32"/>
          <w:szCs w:val="32"/>
          <w:lang w:val="en-US" w:eastAsia="zh-CN"/>
        </w:rPr>
      </w:pPr>
    </w:p>
    <w:p w14:paraId="5093F050">
      <w:pPr>
        <w:spacing w:line="600" w:lineRule="exact"/>
        <w:jc w:val="both"/>
        <w:rPr>
          <w:rFonts w:hint="default"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39F202-04E9-443B-A365-85CF9A3798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5F66068-F1B5-4BED-A56A-10B45E00AF85}"/>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BF0A9878-0C90-49FC-9C9F-D4C9F6EC854C}"/>
  </w:font>
  <w:font w:name="楷体_GB2312">
    <w:panose1 w:val="02010609060101010101"/>
    <w:charset w:val="86"/>
    <w:family w:val="auto"/>
    <w:pitch w:val="default"/>
    <w:sig w:usb0="800002BF" w:usb1="38CF7CFA" w:usb2="00000016" w:usb3="00000000" w:csb0="00040001" w:csb1="00000000"/>
    <w:embedRegular r:id="rId4" w:fontKey="{06B14130-7CF4-45BC-BB07-90AE2A23FE65}"/>
  </w:font>
  <w:font w:name="方正小标宋_GBK">
    <w:panose1 w:val="02000000000000000000"/>
    <w:charset w:val="86"/>
    <w:family w:val="auto"/>
    <w:pitch w:val="default"/>
    <w:sig w:usb0="A00002BF" w:usb1="38CF7CFA" w:usb2="00082016" w:usb3="00000000" w:csb0="00040001" w:csb1="00000000"/>
    <w:embedRegular r:id="rId5" w:fontKey="{0F4B324B-42C2-436F-8BEF-8F8D77AF10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A5114">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84BE1">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8FAA">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1D19C">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41D19C">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7832BA1"/>
    <w:rsid w:val="09FF2378"/>
    <w:rsid w:val="12D47820"/>
    <w:rsid w:val="17217A6C"/>
    <w:rsid w:val="1D844334"/>
    <w:rsid w:val="25DF5936"/>
    <w:rsid w:val="32AC498F"/>
    <w:rsid w:val="38867BE5"/>
    <w:rsid w:val="3AB94328"/>
    <w:rsid w:val="48914F40"/>
    <w:rsid w:val="56BB772A"/>
    <w:rsid w:val="634C390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5.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65edd-20d9-4773-b447-d95f9bc33fd2}">
  <ds:schemaRefs/>
</ds:datastoreItem>
</file>

<file path=customXml/itemProps3.xml><?xml version="1.0" encoding="utf-8"?>
<ds:datastoreItem xmlns:ds="http://schemas.openxmlformats.org/officeDocument/2006/customXml" ds:itemID="{F88D2ECD-F606-45A5-AD68-7D54D6DC8C9F}">
  <ds:schemaRefs/>
</ds:datastoreItem>
</file>

<file path=customXml/itemProps4.xml><?xml version="1.0" encoding="utf-8"?>
<ds:datastoreItem xmlns:ds="http://schemas.openxmlformats.org/officeDocument/2006/customXml" ds:itemID="{ba2f4cc8-ef81-4c78-83cd-007b8031ee68}">
  <ds:schemaRefs/>
</ds:datastoreItem>
</file>

<file path=customXml/itemProps5.xml><?xml version="1.0" encoding="utf-8"?>
<ds:datastoreItem xmlns:ds="http://schemas.openxmlformats.org/officeDocument/2006/customXml" ds:itemID="{8dadb9ba-e79b-4e36-8400-1c805e1fa05e}">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11113</Words>
  <Characters>12096</Characters>
  <Lines>38</Lines>
  <Paragraphs>10</Paragraphs>
  <TotalTime>175</TotalTime>
  <ScaleCrop>false</ScaleCrop>
  <LinksUpToDate>false</LinksUpToDate>
  <CharactersWithSpaces>12180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2024-11-12T06:35:35Z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660A74748E9742AF8F05D70A8F60EDEF_13</vt:lpwstr>
  </property>
</Properties>
</file>