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BCDCD">
      <w:pPr>
        <w:spacing w:line="248" w:lineRule="auto"/>
        <w:rPr>
          <w:rFonts w:ascii="宋体"/>
        </w:rPr>
      </w:pPr>
    </w:p>
    <w:p w14:paraId="2FA9C044">
      <w:pPr>
        <w:spacing w:line="248" w:lineRule="auto"/>
        <w:rPr>
          <w:rFonts w:ascii="宋体"/>
        </w:rPr>
      </w:pPr>
      <w:bookmarkStart w:id="0" w:name="_Toc28812"/>
    </w:p>
    <w:p w14:paraId="2C20A839">
      <w:pPr>
        <w:spacing w:line="248" w:lineRule="auto"/>
        <w:rPr>
          <w:rFonts w:ascii="宋体"/>
        </w:rPr>
      </w:pPr>
    </w:p>
    <w:p w14:paraId="0D3CD89F">
      <w:pPr>
        <w:jc w:val="center"/>
        <w:outlineLvl w:val="9"/>
        <w:rPr>
          <w:rFonts w:ascii="楷体" w:hAnsi="楷体" w:eastAsia="楷体" w:cs="楷体"/>
          <w:b/>
          <w:bCs/>
          <w:sz w:val="36"/>
          <w:szCs w:val="36"/>
        </w:rPr>
      </w:pPr>
      <w:bookmarkStart w:id="1" w:name="_Toc16984"/>
      <w:bookmarkStart w:id="2" w:name="_Toc24848"/>
      <w:r>
        <w:rPr>
          <w:rFonts w:ascii="楷体" w:hAnsi="楷体" w:eastAsia="楷体" w:cs="楷体"/>
          <w:b/>
          <w:bCs/>
          <w:sz w:val="36"/>
          <w:szCs w:val="36"/>
        </w:rPr>
        <w:t>标准地建设文勘经费</w:t>
      </w:r>
      <w:bookmarkEnd w:id="1"/>
      <w:bookmarkEnd w:id="2"/>
    </w:p>
    <w:p w14:paraId="6D3D5114">
      <w:pPr>
        <w:spacing w:line="248" w:lineRule="auto"/>
        <w:rPr>
          <w:rFonts w:ascii="宋体"/>
        </w:rPr>
      </w:pPr>
    </w:p>
    <w:p w14:paraId="24E34873">
      <w:pPr>
        <w:spacing w:line="248" w:lineRule="auto"/>
        <w:rPr>
          <w:rFonts w:ascii="宋体"/>
        </w:rPr>
      </w:pPr>
    </w:p>
    <w:p w14:paraId="5FD4514D">
      <w:pPr>
        <w:spacing w:line="248" w:lineRule="auto"/>
        <w:rPr>
          <w:rFonts w:ascii="宋体"/>
        </w:rPr>
      </w:pPr>
    </w:p>
    <w:p w14:paraId="3D308D0C">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02C2E895">
      <w:pPr>
        <w:spacing w:line="248" w:lineRule="auto"/>
        <w:rPr>
          <w:rFonts w:ascii="宋体"/>
        </w:rPr>
      </w:pPr>
    </w:p>
    <w:p w14:paraId="55DC94E6">
      <w:pPr>
        <w:spacing w:line="248" w:lineRule="auto"/>
        <w:rPr>
          <w:rFonts w:ascii="宋体"/>
        </w:rPr>
      </w:pPr>
    </w:p>
    <w:p w14:paraId="7BCCD068">
      <w:pPr>
        <w:spacing w:line="248" w:lineRule="auto"/>
        <w:rPr>
          <w:rFonts w:ascii="宋体"/>
        </w:rPr>
      </w:pPr>
    </w:p>
    <w:p w14:paraId="34590D22">
      <w:pPr>
        <w:spacing w:line="248" w:lineRule="auto"/>
        <w:jc w:val="left"/>
        <w:rPr>
          <w:rFonts w:ascii="宋体"/>
        </w:rPr>
      </w:pPr>
    </w:p>
    <w:p w14:paraId="522B3B90">
      <w:pPr>
        <w:spacing w:line="248" w:lineRule="auto"/>
        <w:jc w:val="left"/>
        <w:rPr>
          <w:rFonts w:ascii="宋体"/>
        </w:rPr>
      </w:pPr>
    </w:p>
    <w:p w14:paraId="73EFBE4B">
      <w:pPr>
        <w:spacing w:line="248" w:lineRule="auto"/>
        <w:jc w:val="left"/>
        <w:rPr>
          <w:rFonts w:ascii="宋体"/>
        </w:rPr>
      </w:pPr>
    </w:p>
    <w:p w14:paraId="5D818473">
      <w:pPr>
        <w:spacing w:line="248" w:lineRule="auto"/>
        <w:jc w:val="left"/>
        <w:rPr>
          <w:rFonts w:ascii="宋体"/>
        </w:rPr>
      </w:pPr>
    </w:p>
    <w:p w14:paraId="419B9D0E">
      <w:pPr>
        <w:spacing w:line="248" w:lineRule="auto"/>
        <w:jc w:val="left"/>
        <w:rPr>
          <w:rFonts w:ascii="宋体"/>
        </w:rPr>
      </w:pPr>
    </w:p>
    <w:p w14:paraId="4836E46B">
      <w:pPr>
        <w:spacing w:line="248" w:lineRule="auto"/>
        <w:rPr>
          <w:rFonts w:ascii="宋体"/>
        </w:rPr>
      </w:pPr>
    </w:p>
    <w:p w14:paraId="4543B8D1">
      <w:pPr>
        <w:spacing w:line="248" w:lineRule="auto"/>
        <w:jc w:val="left"/>
        <w:rPr>
          <w:rFonts w:ascii="宋体"/>
        </w:rPr>
      </w:pPr>
    </w:p>
    <w:p w14:paraId="0946BA99">
      <w:pPr>
        <w:spacing w:line="248" w:lineRule="auto"/>
        <w:jc w:val="left"/>
        <w:rPr>
          <w:rFonts w:ascii="宋体"/>
        </w:rPr>
      </w:pPr>
    </w:p>
    <w:p w14:paraId="718A5223">
      <w:pPr>
        <w:spacing w:line="248" w:lineRule="auto"/>
        <w:jc w:val="left"/>
        <w:rPr>
          <w:rFonts w:ascii="宋体"/>
        </w:rPr>
      </w:pPr>
    </w:p>
    <w:p w14:paraId="0EA89187">
      <w:pPr>
        <w:spacing w:line="248" w:lineRule="auto"/>
        <w:jc w:val="left"/>
        <w:rPr>
          <w:rFonts w:ascii="宋体"/>
        </w:rPr>
      </w:pPr>
    </w:p>
    <w:p w14:paraId="5506DBDC">
      <w:pPr>
        <w:spacing w:line="248" w:lineRule="auto"/>
        <w:jc w:val="left"/>
        <w:rPr>
          <w:rFonts w:ascii="宋体"/>
        </w:rPr>
      </w:pPr>
    </w:p>
    <w:p w14:paraId="7EEAB915">
      <w:pPr>
        <w:spacing w:line="248" w:lineRule="auto"/>
        <w:jc w:val="left"/>
        <w:rPr>
          <w:rFonts w:ascii="宋体"/>
        </w:rPr>
      </w:pPr>
    </w:p>
    <w:p w14:paraId="71E4F3D4">
      <w:pPr>
        <w:spacing w:line="248" w:lineRule="auto"/>
        <w:rPr>
          <w:rFonts w:ascii="宋体"/>
        </w:rPr>
      </w:pPr>
    </w:p>
    <w:p w14:paraId="73D3E412">
      <w:pPr>
        <w:widowControl/>
        <w:spacing w:line="600" w:lineRule="exact"/>
        <w:ind w:firstLine="1600" w:firstLineChars="500"/>
        <w:jc w:val="left"/>
        <w:rPr>
          <w:rFonts w:ascii="仿宋" w:hAnsi="仿宋" w:eastAsia="仿宋" w:cs="仿宋"/>
          <w:sz w:val="32"/>
          <w:szCs w:val="32"/>
        </w:rPr>
      </w:pPr>
      <w:r>
        <w:rPr>
          <w:rFonts w:ascii="楷体" w:hAnsi="楷体" w:eastAsia="楷体" w:cs="楷体"/>
          <w:color w:val="000000"/>
          <w:kern w:val="0"/>
          <w:sz w:val="32"/>
          <w:szCs w:val="32"/>
        </w:rPr>
        <w:t>主管部门：扶风县文化和旅游局</w:t>
      </w:r>
    </w:p>
    <w:p w14:paraId="561C7081">
      <w:pPr>
        <w:widowControl/>
        <w:spacing w:line="600" w:lineRule="exact"/>
        <w:ind w:left="2556" w:leftChars="760" w:hanging="960" w:hangingChars="300"/>
        <w:jc w:val="left"/>
        <w:rPr>
          <w:rFonts w:ascii="仿宋" w:hAnsi="仿宋" w:eastAsia="仿宋" w:cs="仿宋"/>
          <w:sz w:val="32"/>
          <w:szCs w:val="32"/>
        </w:rPr>
      </w:pPr>
      <w:r>
        <w:rPr>
          <w:rFonts w:hint="eastAsia" w:ascii="楷体" w:hAnsi="楷体" w:eastAsia="楷体" w:cs="楷体"/>
          <w:color w:val="000000"/>
          <w:kern w:val="0"/>
          <w:sz w:val="32"/>
          <w:szCs w:val="32"/>
        </w:rPr>
        <w:t>项目单位：扶风县文化和旅游局</w:t>
      </w:r>
    </w:p>
    <w:p w14:paraId="3814C45C">
      <w:pPr>
        <w:widowControl/>
        <w:spacing w:line="600" w:lineRule="exact"/>
        <w:ind w:firstLine="1600" w:firstLineChars="500"/>
        <w:rPr>
          <w:rFonts w:ascii="仿宋" w:hAnsi="仿宋" w:eastAsia="楷体" w:cs="仿宋"/>
          <w:sz w:val="32"/>
          <w:szCs w:val="32"/>
        </w:rPr>
      </w:pPr>
      <w:r>
        <w:rPr>
          <w:rFonts w:hint="eastAsia" w:ascii="楷体" w:hAnsi="楷体" w:eastAsia="楷体" w:cs="楷体"/>
          <w:color w:val="000000"/>
          <w:kern w:val="0"/>
          <w:sz w:val="32"/>
          <w:szCs w:val="32"/>
        </w:rPr>
        <w:t>评价机构：扶风县财政局</w:t>
      </w:r>
    </w:p>
    <w:p w14:paraId="6D4AB0BE">
      <w:pPr>
        <w:widowControl/>
        <w:spacing w:line="600" w:lineRule="exact"/>
        <w:ind w:firstLine="1600" w:firstLineChars="500"/>
        <w:rPr>
          <w:rFonts w:hint="eastAsia" w:ascii="宋体" w:hAnsi="宋体" w:eastAsia="楷体" w:cs="宋体"/>
          <w:spacing w:val="-1"/>
          <w:sz w:val="36"/>
          <w:szCs w:val="36"/>
          <w:lang w:val="en-US" w:eastAsia="zh-CN"/>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bookmarkEnd w:id="0"/>
      <w:r>
        <w:rPr>
          <w:rFonts w:hint="eastAsia" w:ascii="楷体" w:hAnsi="楷体" w:eastAsia="楷体" w:cs="楷体"/>
          <w:color w:val="000000"/>
          <w:kern w:val="0"/>
          <w:sz w:val="32"/>
          <w:szCs w:val="32"/>
          <w:lang w:val="en-US" w:eastAsia="zh-CN"/>
        </w:rPr>
        <w:t>日</w:t>
      </w:r>
    </w:p>
    <w:p w14:paraId="37BD3EAA">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1108FC70">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720E881A">
          <w:pPr>
            <w:pStyle w:val="9"/>
            <w:tabs>
              <w:tab w:val="right" w:leader="dot" w:pos="8250"/>
            </w:tabs>
            <w:rPr>
              <w:sz w:val="28"/>
              <w:szCs w:val="24"/>
            </w:rPr>
          </w:pPr>
          <w:r>
            <w:rPr>
              <w:sz w:val="28"/>
              <w:szCs w:val="24"/>
            </w:rPr>
            <w:fldChar w:fldCharType="begin"/>
          </w:r>
          <w:r>
            <w:rPr>
              <w:sz w:val="28"/>
              <w:szCs w:val="24"/>
            </w:rPr>
            <w:instrText xml:space="preserve"> HYPERLINK \l _Toc447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_Toc447 \h </w:instrText>
          </w:r>
          <w:r>
            <w:rPr>
              <w:sz w:val="28"/>
              <w:szCs w:val="24"/>
            </w:rPr>
            <w:fldChar w:fldCharType="separate"/>
          </w:r>
          <w:r>
            <w:rPr>
              <w:sz w:val="28"/>
              <w:szCs w:val="24"/>
            </w:rPr>
            <w:t>1</w:t>
          </w:r>
          <w:r>
            <w:rPr>
              <w:sz w:val="28"/>
              <w:szCs w:val="24"/>
            </w:rPr>
            <w:fldChar w:fldCharType="end"/>
          </w:r>
          <w:r>
            <w:rPr>
              <w:sz w:val="28"/>
              <w:szCs w:val="24"/>
            </w:rPr>
            <w:fldChar w:fldCharType="end"/>
          </w:r>
        </w:p>
        <w:p w14:paraId="054CFEAA">
          <w:pPr>
            <w:pStyle w:val="9"/>
            <w:tabs>
              <w:tab w:val="right" w:leader="dot" w:pos="8250"/>
            </w:tabs>
            <w:rPr>
              <w:sz w:val="28"/>
              <w:szCs w:val="24"/>
            </w:rPr>
          </w:pPr>
          <w:r>
            <w:rPr>
              <w:sz w:val="28"/>
              <w:szCs w:val="24"/>
            </w:rPr>
            <w:fldChar w:fldCharType="begin"/>
          </w:r>
          <w:r>
            <w:rPr>
              <w:sz w:val="28"/>
              <w:szCs w:val="24"/>
            </w:rPr>
            <w:instrText xml:space="preserve"> HYPERLINK \l _Toc5050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_Toc5050 \h </w:instrText>
          </w:r>
          <w:r>
            <w:rPr>
              <w:sz w:val="28"/>
              <w:szCs w:val="24"/>
            </w:rPr>
            <w:fldChar w:fldCharType="separate"/>
          </w:r>
          <w:r>
            <w:rPr>
              <w:sz w:val="28"/>
              <w:szCs w:val="24"/>
            </w:rPr>
            <w:t>1</w:t>
          </w:r>
          <w:r>
            <w:rPr>
              <w:sz w:val="28"/>
              <w:szCs w:val="24"/>
            </w:rPr>
            <w:fldChar w:fldCharType="end"/>
          </w:r>
          <w:r>
            <w:rPr>
              <w:sz w:val="28"/>
              <w:szCs w:val="24"/>
            </w:rPr>
            <w:fldChar w:fldCharType="end"/>
          </w:r>
        </w:p>
        <w:p w14:paraId="5282E996">
          <w:pPr>
            <w:pStyle w:val="10"/>
            <w:tabs>
              <w:tab w:val="right" w:leader="dot" w:pos="8250"/>
            </w:tabs>
            <w:rPr>
              <w:sz w:val="28"/>
              <w:szCs w:val="24"/>
            </w:rPr>
          </w:pPr>
          <w:r>
            <w:rPr>
              <w:sz w:val="28"/>
              <w:szCs w:val="24"/>
            </w:rPr>
            <w:fldChar w:fldCharType="begin"/>
          </w:r>
          <w:r>
            <w:rPr>
              <w:sz w:val="28"/>
              <w:szCs w:val="24"/>
            </w:rPr>
            <w:instrText xml:space="preserve"> HYPERLINK \l _Toc4099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_Toc4099 \h </w:instrText>
          </w:r>
          <w:r>
            <w:rPr>
              <w:sz w:val="28"/>
              <w:szCs w:val="24"/>
            </w:rPr>
            <w:fldChar w:fldCharType="separate"/>
          </w:r>
          <w:r>
            <w:rPr>
              <w:sz w:val="28"/>
              <w:szCs w:val="24"/>
            </w:rPr>
            <w:t>1</w:t>
          </w:r>
          <w:r>
            <w:rPr>
              <w:sz w:val="28"/>
              <w:szCs w:val="24"/>
            </w:rPr>
            <w:fldChar w:fldCharType="end"/>
          </w:r>
          <w:r>
            <w:rPr>
              <w:sz w:val="28"/>
              <w:szCs w:val="24"/>
            </w:rPr>
            <w:fldChar w:fldCharType="end"/>
          </w:r>
        </w:p>
        <w:p w14:paraId="3301A93A">
          <w:pPr>
            <w:pStyle w:val="10"/>
            <w:tabs>
              <w:tab w:val="right" w:leader="dot" w:pos="8250"/>
            </w:tabs>
            <w:rPr>
              <w:sz w:val="28"/>
              <w:szCs w:val="24"/>
            </w:rPr>
          </w:pPr>
          <w:r>
            <w:rPr>
              <w:sz w:val="28"/>
              <w:szCs w:val="24"/>
            </w:rPr>
            <w:fldChar w:fldCharType="begin"/>
          </w:r>
          <w:r>
            <w:rPr>
              <w:sz w:val="28"/>
              <w:szCs w:val="24"/>
            </w:rPr>
            <w:instrText xml:space="preserve"> HYPERLINK \l _Toc21098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_Toc21098 \h </w:instrText>
          </w:r>
          <w:r>
            <w:rPr>
              <w:sz w:val="28"/>
              <w:szCs w:val="24"/>
            </w:rPr>
            <w:fldChar w:fldCharType="separate"/>
          </w:r>
          <w:r>
            <w:rPr>
              <w:sz w:val="28"/>
              <w:szCs w:val="24"/>
            </w:rPr>
            <w:t>2</w:t>
          </w:r>
          <w:r>
            <w:rPr>
              <w:sz w:val="28"/>
              <w:szCs w:val="24"/>
            </w:rPr>
            <w:fldChar w:fldCharType="end"/>
          </w:r>
          <w:r>
            <w:rPr>
              <w:sz w:val="28"/>
              <w:szCs w:val="24"/>
            </w:rPr>
            <w:fldChar w:fldCharType="end"/>
          </w:r>
        </w:p>
        <w:p w14:paraId="14DBC373">
          <w:pPr>
            <w:pStyle w:val="9"/>
            <w:tabs>
              <w:tab w:val="right" w:leader="dot" w:pos="8250"/>
            </w:tabs>
            <w:rPr>
              <w:sz w:val="28"/>
              <w:szCs w:val="24"/>
            </w:rPr>
          </w:pPr>
          <w:r>
            <w:rPr>
              <w:sz w:val="28"/>
              <w:szCs w:val="24"/>
            </w:rPr>
            <w:fldChar w:fldCharType="begin"/>
          </w:r>
          <w:r>
            <w:rPr>
              <w:sz w:val="28"/>
              <w:szCs w:val="24"/>
            </w:rPr>
            <w:instrText xml:space="preserve"> HYPERLINK \l _Toc15270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_Toc15270 \h </w:instrText>
          </w:r>
          <w:r>
            <w:rPr>
              <w:sz w:val="28"/>
              <w:szCs w:val="24"/>
            </w:rPr>
            <w:fldChar w:fldCharType="separate"/>
          </w:r>
          <w:r>
            <w:rPr>
              <w:sz w:val="28"/>
              <w:szCs w:val="24"/>
            </w:rPr>
            <w:t>3</w:t>
          </w:r>
          <w:r>
            <w:rPr>
              <w:sz w:val="28"/>
              <w:szCs w:val="24"/>
            </w:rPr>
            <w:fldChar w:fldCharType="end"/>
          </w:r>
          <w:r>
            <w:rPr>
              <w:sz w:val="28"/>
              <w:szCs w:val="24"/>
            </w:rPr>
            <w:fldChar w:fldCharType="end"/>
          </w:r>
        </w:p>
        <w:p w14:paraId="524117EB">
          <w:pPr>
            <w:pStyle w:val="10"/>
            <w:tabs>
              <w:tab w:val="right" w:leader="dot" w:pos="8250"/>
            </w:tabs>
            <w:rPr>
              <w:sz w:val="28"/>
              <w:szCs w:val="24"/>
            </w:rPr>
          </w:pPr>
          <w:r>
            <w:rPr>
              <w:sz w:val="28"/>
              <w:szCs w:val="24"/>
            </w:rPr>
            <w:fldChar w:fldCharType="begin"/>
          </w:r>
          <w:r>
            <w:rPr>
              <w:sz w:val="28"/>
              <w:szCs w:val="24"/>
            </w:rPr>
            <w:instrText xml:space="preserve"> HYPERLINK \l _Toc11279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_Toc11279 \h </w:instrText>
          </w:r>
          <w:r>
            <w:rPr>
              <w:sz w:val="28"/>
              <w:szCs w:val="24"/>
            </w:rPr>
            <w:fldChar w:fldCharType="separate"/>
          </w:r>
          <w:r>
            <w:rPr>
              <w:sz w:val="28"/>
              <w:szCs w:val="24"/>
            </w:rPr>
            <w:t>3</w:t>
          </w:r>
          <w:r>
            <w:rPr>
              <w:sz w:val="28"/>
              <w:szCs w:val="24"/>
            </w:rPr>
            <w:fldChar w:fldCharType="end"/>
          </w:r>
          <w:r>
            <w:rPr>
              <w:sz w:val="28"/>
              <w:szCs w:val="24"/>
            </w:rPr>
            <w:fldChar w:fldCharType="end"/>
          </w:r>
        </w:p>
        <w:p w14:paraId="7F91E044">
          <w:pPr>
            <w:pStyle w:val="10"/>
            <w:tabs>
              <w:tab w:val="right" w:leader="dot" w:pos="8250"/>
            </w:tabs>
            <w:rPr>
              <w:sz w:val="28"/>
              <w:szCs w:val="24"/>
            </w:rPr>
          </w:pPr>
          <w:r>
            <w:rPr>
              <w:sz w:val="28"/>
              <w:szCs w:val="24"/>
            </w:rPr>
            <w:fldChar w:fldCharType="begin"/>
          </w:r>
          <w:r>
            <w:rPr>
              <w:sz w:val="28"/>
              <w:szCs w:val="24"/>
            </w:rPr>
            <w:instrText xml:space="preserve"> HYPERLINK \l _Toc24104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_Toc24104 \h </w:instrText>
          </w:r>
          <w:r>
            <w:rPr>
              <w:sz w:val="28"/>
              <w:szCs w:val="24"/>
            </w:rPr>
            <w:fldChar w:fldCharType="separate"/>
          </w:r>
          <w:r>
            <w:rPr>
              <w:sz w:val="28"/>
              <w:szCs w:val="24"/>
            </w:rPr>
            <w:t>3</w:t>
          </w:r>
          <w:r>
            <w:rPr>
              <w:sz w:val="28"/>
              <w:szCs w:val="24"/>
            </w:rPr>
            <w:fldChar w:fldCharType="end"/>
          </w:r>
          <w:r>
            <w:rPr>
              <w:sz w:val="28"/>
              <w:szCs w:val="24"/>
            </w:rPr>
            <w:fldChar w:fldCharType="end"/>
          </w:r>
        </w:p>
        <w:p w14:paraId="31A8290B">
          <w:pPr>
            <w:pStyle w:val="10"/>
            <w:tabs>
              <w:tab w:val="right" w:leader="dot" w:pos="8250"/>
            </w:tabs>
            <w:rPr>
              <w:sz w:val="28"/>
              <w:szCs w:val="24"/>
            </w:rPr>
          </w:pPr>
          <w:r>
            <w:rPr>
              <w:sz w:val="28"/>
              <w:szCs w:val="24"/>
            </w:rPr>
            <w:fldChar w:fldCharType="begin"/>
          </w:r>
          <w:r>
            <w:rPr>
              <w:sz w:val="28"/>
              <w:szCs w:val="24"/>
            </w:rPr>
            <w:instrText xml:space="preserve"> HYPERLINK \l _Toc26317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_Toc26317 \h </w:instrText>
          </w:r>
          <w:r>
            <w:rPr>
              <w:sz w:val="28"/>
              <w:szCs w:val="24"/>
            </w:rPr>
            <w:fldChar w:fldCharType="separate"/>
          </w:r>
          <w:r>
            <w:rPr>
              <w:sz w:val="28"/>
              <w:szCs w:val="24"/>
            </w:rPr>
            <w:t>6</w:t>
          </w:r>
          <w:r>
            <w:rPr>
              <w:sz w:val="28"/>
              <w:szCs w:val="24"/>
            </w:rPr>
            <w:fldChar w:fldCharType="end"/>
          </w:r>
          <w:r>
            <w:rPr>
              <w:sz w:val="28"/>
              <w:szCs w:val="24"/>
            </w:rPr>
            <w:fldChar w:fldCharType="end"/>
          </w:r>
        </w:p>
        <w:p w14:paraId="67BED394">
          <w:pPr>
            <w:pStyle w:val="9"/>
            <w:tabs>
              <w:tab w:val="right" w:leader="dot" w:pos="8250"/>
            </w:tabs>
            <w:rPr>
              <w:sz w:val="28"/>
              <w:szCs w:val="24"/>
            </w:rPr>
          </w:pPr>
          <w:r>
            <w:rPr>
              <w:sz w:val="28"/>
              <w:szCs w:val="24"/>
            </w:rPr>
            <w:fldChar w:fldCharType="begin"/>
          </w:r>
          <w:r>
            <w:rPr>
              <w:sz w:val="28"/>
              <w:szCs w:val="24"/>
            </w:rPr>
            <w:instrText xml:space="preserve"> HYPERLINK \l _Toc13632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_Toc13632 \h </w:instrText>
          </w:r>
          <w:r>
            <w:rPr>
              <w:sz w:val="28"/>
              <w:szCs w:val="24"/>
            </w:rPr>
            <w:fldChar w:fldCharType="separate"/>
          </w:r>
          <w:r>
            <w:rPr>
              <w:sz w:val="28"/>
              <w:szCs w:val="24"/>
            </w:rPr>
            <w:t>9</w:t>
          </w:r>
          <w:r>
            <w:rPr>
              <w:sz w:val="28"/>
              <w:szCs w:val="24"/>
            </w:rPr>
            <w:fldChar w:fldCharType="end"/>
          </w:r>
          <w:r>
            <w:rPr>
              <w:sz w:val="28"/>
              <w:szCs w:val="24"/>
            </w:rPr>
            <w:fldChar w:fldCharType="end"/>
          </w:r>
        </w:p>
        <w:p w14:paraId="14DD69E7">
          <w:pPr>
            <w:pStyle w:val="9"/>
            <w:tabs>
              <w:tab w:val="right" w:leader="dot" w:pos="8250"/>
            </w:tabs>
            <w:rPr>
              <w:sz w:val="28"/>
              <w:szCs w:val="24"/>
            </w:rPr>
          </w:pPr>
          <w:r>
            <w:rPr>
              <w:sz w:val="28"/>
              <w:szCs w:val="24"/>
            </w:rPr>
            <w:fldChar w:fldCharType="begin"/>
          </w:r>
          <w:r>
            <w:rPr>
              <w:sz w:val="28"/>
              <w:szCs w:val="24"/>
            </w:rPr>
            <w:instrText xml:space="preserve"> HYPERLINK \l _Toc305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_Toc305 \h </w:instrText>
          </w:r>
          <w:r>
            <w:rPr>
              <w:sz w:val="28"/>
              <w:szCs w:val="24"/>
            </w:rPr>
            <w:fldChar w:fldCharType="separate"/>
          </w:r>
          <w:r>
            <w:rPr>
              <w:sz w:val="28"/>
              <w:szCs w:val="24"/>
            </w:rPr>
            <w:t>9</w:t>
          </w:r>
          <w:r>
            <w:rPr>
              <w:sz w:val="28"/>
              <w:szCs w:val="24"/>
            </w:rPr>
            <w:fldChar w:fldCharType="end"/>
          </w:r>
          <w:r>
            <w:rPr>
              <w:sz w:val="28"/>
              <w:szCs w:val="24"/>
            </w:rPr>
            <w:fldChar w:fldCharType="end"/>
          </w:r>
        </w:p>
        <w:p w14:paraId="44E74D5A">
          <w:pPr>
            <w:pStyle w:val="10"/>
            <w:tabs>
              <w:tab w:val="right" w:leader="dot" w:pos="8250"/>
            </w:tabs>
            <w:rPr>
              <w:sz w:val="28"/>
              <w:szCs w:val="24"/>
            </w:rPr>
          </w:pPr>
          <w:r>
            <w:rPr>
              <w:sz w:val="28"/>
              <w:szCs w:val="24"/>
            </w:rPr>
            <w:fldChar w:fldCharType="begin"/>
          </w:r>
          <w:r>
            <w:rPr>
              <w:sz w:val="28"/>
              <w:szCs w:val="24"/>
            </w:rPr>
            <w:instrText xml:space="preserve"> HYPERLINK \l _Toc26155 </w:instrText>
          </w:r>
          <w:r>
            <w:rPr>
              <w:sz w:val="28"/>
              <w:szCs w:val="24"/>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_Toc26155 \h </w:instrText>
          </w:r>
          <w:r>
            <w:rPr>
              <w:sz w:val="28"/>
              <w:szCs w:val="24"/>
            </w:rPr>
            <w:fldChar w:fldCharType="separate"/>
          </w:r>
          <w:r>
            <w:rPr>
              <w:sz w:val="28"/>
              <w:szCs w:val="24"/>
            </w:rPr>
            <w:t>9</w:t>
          </w:r>
          <w:r>
            <w:rPr>
              <w:sz w:val="28"/>
              <w:szCs w:val="24"/>
            </w:rPr>
            <w:fldChar w:fldCharType="end"/>
          </w:r>
          <w:r>
            <w:rPr>
              <w:sz w:val="28"/>
              <w:szCs w:val="24"/>
            </w:rPr>
            <w:fldChar w:fldCharType="end"/>
          </w:r>
        </w:p>
        <w:p w14:paraId="690A1C76">
          <w:pPr>
            <w:pStyle w:val="10"/>
            <w:tabs>
              <w:tab w:val="right" w:leader="dot" w:pos="8250"/>
            </w:tabs>
            <w:rPr>
              <w:sz w:val="28"/>
              <w:szCs w:val="24"/>
            </w:rPr>
          </w:pPr>
          <w:r>
            <w:rPr>
              <w:sz w:val="28"/>
              <w:szCs w:val="24"/>
            </w:rPr>
            <w:fldChar w:fldCharType="begin"/>
          </w:r>
          <w:r>
            <w:rPr>
              <w:sz w:val="28"/>
              <w:szCs w:val="24"/>
            </w:rPr>
            <w:instrText xml:space="preserve"> HYPERLINK \l _Toc20682 </w:instrText>
          </w:r>
          <w:r>
            <w:rPr>
              <w:sz w:val="28"/>
              <w:szCs w:val="24"/>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_Toc20682 \h </w:instrText>
          </w:r>
          <w:r>
            <w:rPr>
              <w:sz w:val="28"/>
              <w:szCs w:val="24"/>
            </w:rPr>
            <w:fldChar w:fldCharType="separate"/>
          </w:r>
          <w:r>
            <w:rPr>
              <w:sz w:val="28"/>
              <w:szCs w:val="24"/>
            </w:rPr>
            <w:t>11</w:t>
          </w:r>
          <w:r>
            <w:rPr>
              <w:sz w:val="28"/>
              <w:szCs w:val="24"/>
            </w:rPr>
            <w:fldChar w:fldCharType="end"/>
          </w:r>
          <w:r>
            <w:rPr>
              <w:sz w:val="28"/>
              <w:szCs w:val="24"/>
            </w:rPr>
            <w:fldChar w:fldCharType="end"/>
          </w:r>
        </w:p>
        <w:p w14:paraId="21CCBCF6">
          <w:pPr>
            <w:pStyle w:val="10"/>
            <w:tabs>
              <w:tab w:val="right" w:leader="dot" w:pos="8250"/>
            </w:tabs>
            <w:rPr>
              <w:sz w:val="28"/>
              <w:szCs w:val="24"/>
            </w:rPr>
          </w:pPr>
          <w:r>
            <w:rPr>
              <w:sz w:val="28"/>
              <w:szCs w:val="24"/>
            </w:rPr>
            <w:fldChar w:fldCharType="begin"/>
          </w:r>
          <w:r>
            <w:rPr>
              <w:sz w:val="28"/>
              <w:szCs w:val="24"/>
            </w:rPr>
            <w:instrText xml:space="preserve"> HYPERLINK \l _Toc10363 </w:instrText>
          </w:r>
          <w:r>
            <w:rPr>
              <w:sz w:val="28"/>
              <w:szCs w:val="24"/>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_Toc10363 \h </w:instrText>
          </w:r>
          <w:r>
            <w:rPr>
              <w:sz w:val="28"/>
              <w:szCs w:val="24"/>
            </w:rPr>
            <w:fldChar w:fldCharType="separate"/>
          </w:r>
          <w:r>
            <w:rPr>
              <w:sz w:val="28"/>
              <w:szCs w:val="24"/>
            </w:rPr>
            <w:t>13</w:t>
          </w:r>
          <w:r>
            <w:rPr>
              <w:sz w:val="28"/>
              <w:szCs w:val="24"/>
            </w:rPr>
            <w:fldChar w:fldCharType="end"/>
          </w:r>
          <w:r>
            <w:rPr>
              <w:sz w:val="28"/>
              <w:szCs w:val="24"/>
            </w:rPr>
            <w:fldChar w:fldCharType="end"/>
          </w:r>
        </w:p>
        <w:p w14:paraId="33567947">
          <w:pPr>
            <w:pStyle w:val="10"/>
            <w:tabs>
              <w:tab w:val="right" w:leader="dot" w:pos="8250"/>
            </w:tabs>
            <w:rPr>
              <w:sz w:val="28"/>
              <w:szCs w:val="24"/>
            </w:rPr>
          </w:pPr>
          <w:r>
            <w:rPr>
              <w:sz w:val="28"/>
              <w:szCs w:val="24"/>
            </w:rPr>
            <w:fldChar w:fldCharType="begin"/>
          </w:r>
          <w:r>
            <w:rPr>
              <w:sz w:val="28"/>
              <w:szCs w:val="24"/>
            </w:rPr>
            <w:instrText xml:space="preserve"> HYPERLINK \l _Toc28205 </w:instrText>
          </w:r>
          <w:r>
            <w:rPr>
              <w:sz w:val="28"/>
              <w:szCs w:val="24"/>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_Toc28205 \h </w:instrText>
          </w:r>
          <w:r>
            <w:rPr>
              <w:sz w:val="28"/>
              <w:szCs w:val="24"/>
            </w:rPr>
            <w:fldChar w:fldCharType="separate"/>
          </w:r>
          <w:r>
            <w:rPr>
              <w:sz w:val="28"/>
              <w:szCs w:val="24"/>
            </w:rPr>
            <w:t>14</w:t>
          </w:r>
          <w:r>
            <w:rPr>
              <w:sz w:val="28"/>
              <w:szCs w:val="24"/>
            </w:rPr>
            <w:fldChar w:fldCharType="end"/>
          </w:r>
          <w:r>
            <w:rPr>
              <w:sz w:val="28"/>
              <w:szCs w:val="24"/>
            </w:rPr>
            <w:fldChar w:fldCharType="end"/>
          </w:r>
        </w:p>
        <w:p w14:paraId="0AAF19E1">
          <w:pPr>
            <w:pStyle w:val="9"/>
            <w:tabs>
              <w:tab w:val="right" w:leader="dot" w:pos="8250"/>
            </w:tabs>
            <w:rPr>
              <w:sz w:val="28"/>
              <w:szCs w:val="24"/>
            </w:rPr>
          </w:pPr>
          <w:r>
            <w:rPr>
              <w:sz w:val="28"/>
              <w:szCs w:val="24"/>
            </w:rPr>
            <w:fldChar w:fldCharType="begin"/>
          </w:r>
          <w:r>
            <w:rPr>
              <w:sz w:val="28"/>
              <w:szCs w:val="24"/>
            </w:rPr>
            <w:instrText xml:space="preserve"> HYPERLINK \l _Toc15478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_Toc15478 \h </w:instrText>
          </w:r>
          <w:r>
            <w:rPr>
              <w:sz w:val="28"/>
              <w:szCs w:val="24"/>
            </w:rPr>
            <w:fldChar w:fldCharType="separate"/>
          </w:r>
          <w:r>
            <w:rPr>
              <w:sz w:val="28"/>
              <w:szCs w:val="24"/>
            </w:rPr>
            <w:t>15</w:t>
          </w:r>
          <w:r>
            <w:rPr>
              <w:sz w:val="28"/>
              <w:szCs w:val="24"/>
            </w:rPr>
            <w:fldChar w:fldCharType="end"/>
          </w:r>
          <w:r>
            <w:rPr>
              <w:sz w:val="28"/>
              <w:szCs w:val="24"/>
            </w:rPr>
            <w:fldChar w:fldCharType="end"/>
          </w:r>
        </w:p>
        <w:p w14:paraId="27993BBA">
          <w:pPr>
            <w:pStyle w:val="10"/>
            <w:tabs>
              <w:tab w:val="right" w:leader="dot" w:pos="8250"/>
            </w:tabs>
            <w:rPr>
              <w:sz w:val="28"/>
              <w:szCs w:val="24"/>
            </w:rPr>
          </w:pPr>
          <w:r>
            <w:rPr>
              <w:sz w:val="28"/>
              <w:szCs w:val="24"/>
            </w:rPr>
            <w:fldChar w:fldCharType="begin"/>
          </w:r>
          <w:r>
            <w:rPr>
              <w:sz w:val="28"/>
              <w:szCs w:val="24"/>
            </w:rPr>
            <w:instrText xml:space="preserve"> HYPERLINK \l _Toc8814 </w:instrText>
          </w:r>
          <w:r>
            <w:rPr>
              <w:sz w:val="28"/>
              <w:szCs w:val="24"/>
            </w:rPr>
            <w:fldChar w:fldCharType="separate"/>
          </w:r>
          <w:r>
            <w:rPr>
              <w:rFonts w:hint="eastAsia" w:ascii="楷体_GB2312" w:hAnsi="楷体_GB2312" w:eastAsia="楷体_GB2312" w:cs="楷体_GB2312"/>
              <w:bCs/>
              <w:kern w:val="0"/>
              <w:sz w:val="28"/>
              <w:szCs w:val="44"/>
            </w:rPr>
            <w:t>（一）项目</w:t>
          </w:r>
          <w:r>
            <w:rPr>
              <w:rFonts w:hint="eastAsia" w:ascii="楷体_GB2312" w:hAnsi="楷体_GB2312" w:eastAsia="楷体_GB2312" w:cs="楷体_GB2312"/>
              <w:bCs/>
              <w:kern w:val="0"/>
              <w:sz w:val="28"/>
              <w:szCs w:val="44"/>
              <w:lang w:val="en-US" w:eastAsia="zh-CN"/>
            </w:rPr>
            <w:t>单位未提供</w:t>
          </w:r>
          <w:r>
            <w:rPr>
              <w:rFonts w:hint="eastAsia" w:ascii="楷体_GB2312" w:hAnsi="楷体_GB2312" w:eastAsia="楷体_GB2312" w:cs="楷体_GB2312"/>
              <w:bCs/>
              <w:kern w:val="0"/>
              <w:sz w:val="28"/>
              <w:szCs w:val="44"/>
            </w:rPr>
            <w:t>绩效目标</w:t>
          </w:r>
          <w:r>
            <w:rPr>
              <w:rFonts w:hint="eastAsia" w:ascii="楷体_GB2312" w:hAnsi="楷体_GB2312" w:eastAsia="楷体_GB2312" w:cs="楷体_GB2312"/>
              <w:bCs/>
              <w:kern w:val="0"/>
              <w:sz w:val="28"/>
              <w:szCs w:val="44"/>
              <w:lang w:val="en-US" w:eastAsia="zh-CN"/>
            </w:rPr>
            <w:t>申报表</w:t>
          </w:r>
          <w:r>
            <w:rPr>
              <w:sz w:val="28"/>
              <w:szCs w:val="24"/>
            </w:rPr>
            <w:tab/>
          </w:r>
          <w:r>
            <w:rPr>
              <w:sz w:val="28"/>
              <w:szCs w:val="24"/>
            </w:rPr>
            <w:fldChar w:fldCharType="begin"/>
          </w:r>
          <w:r>
            <w:rPr>
              <w:sz w:val="28"/>
              <w:szCs w:val="24"/>
            </w:rPr>
            <w:instrText xml:space="preserve"> PAGEREF _Toc8814 \h </w:instrText>
          </w:r>
          <w:r>
            <w:rPr>
              <w:sz w:val="28"/>
              <w:szCs w:val="24"/>
            </w:rPr>
            <w:fldChar w:fldCharType="separate"/>
          </w:r>
          <w:r>
            <w:rPr>
              <w:sz w:val="28"/>
              <w:szCs w:val="24"/>
            </w:rPr>
            <w:t>15</w:t>
          </w:r>
          <w:r>
            <w:rPr>
              <w:sz w:val="28"/>
              <w:szCs w:val="24"/>
            </w:rPr>
            <w:fldChar w:fldCharType="end"/>
          </w:r>
          <w:r>
            <w:rPr>
              <w:sz w:val="28"/>
              <w:szCs w:val="24"/>
            </w:rPr>
            <w:fldChar w:fldCharType="end"/>
          </w:r>
        </w:p>
        <w:p w14:paraId="65374A0C">
          <w:pPr>
            <w:pStyle w:val="10"/>
            <w:tabs>
              <w:tab w:val="right" w:leader="dot" w:pos="8250"/>
            </w:tabs>
            <w:rPr>
              <w:sz w:val="28"/>
              <w:szCs w:val="24"/>
            </w:rPr>
          </w:pPr>
          <w:r>
            <w:rPr>
              <w:sz w:val="28"/>
              <w:szCs w:val="24"/>
            </w:rPr>
            <w:fldChar w:fldCharType="begin"/>
          </w:r>
          <w:r>
            <w:rPr>
              <w:sz w:val="28"/>
              <w:szCs w:val="24"/>
            </w:rPr>
            <w:instrText xml:space="preserve"> HYPERLINK \l _Toc12606 </w:instrText>
          </w:r>
          <w:r>
            <w:rPr>
              <w:sz w:val="28"/>
              <w:szCs w:val="24"/>
            </w:rPr>
            <w:fldChar w:fldCharType="separate"/>
          </w:r>
          <w:r>
            <w:rPr>
              <w:rFonts w:hint="eastAsia" w:ascii="楷体_GB2312" w:hAnsi="楷体_GB2312" w:eastAsia="楷体_GB2312" w:cs="楷体_GB2312"/>
              <w:bCs/>
              <w:kern w:val="0"/>
              <w:sz w:val="28"/>
              <w:szCs w:val="44"/>
            </w:rPr>
            <w:t>（二）项目采购程序不合规</w:t>
          </w:r>
          <w:r>
            <w:rPr>
              <w:sz w:val="28"/>
              <w:szCs w:val="24"/>
            </w:rPr>
            <w:tab/>
          </w:r>
          <w:r>
            <w:rPr>
              <w:sz w:val="28"/>
              <w:szCs w:val="24"/>
            </w:rPr>
            <w:fldChar w:fldCharType="begin"/>
          </w:r>
          <w:r>
            <w:rPr>
              <w:sz w:val="28"/>
              <w:szCs w:val="24"/>
            </w:rPr>
            <w:instrText xml:space="preserve"> PAGEREF _Toc12606 \h </w:instrText>
          </w:r>
          <w:r>
            <w:rPr>
              <w:sz w:val="28"/>
              <w:szCs w:val="24"/>
            </w:rPr>
            <w:fldChar w:fldCharType="separate"/>
          </w:r>
          <w:r>
            <w:rPr>
              <w:sz w:val="28"/>
              <w:szCs w:val="24"/>
            </w:rPr>
            <w:t>15</w:t>
          </w:r>
          <w:r>
            <w:rPr>
              <w:sz w:val="28"/>
              <w:szCs w:val="24"/>
            </w:rPr>
            <w:fldChar w:fldCharType="end"/>
          </w:r>
          <w:r>
            <w:rPr>
              <w:sz w:val="28"/>
              <w:szCs w:val="24"/>
            </w:rPr>
            <w:fldChar w:fldCharType="end"/>
          </w:r>
        </w:p>
        <w:p w14:paraId="64E45E6C">
          <w:pPr>
            <w:pStyle w:val="10"/>
            <w:tabs>
              <w:tab w:val="right" w:leader="dot" w:pos="8250"/>
            </w:tabs>
            <w:rPr>
              <w:sz w:val="28"/>
              <w:szCs w:val="24"/>
            </w:rPr>
          </w:pPr>
          <w:r>
            <w:rPr>
              <w:sz w:val="28"/>
              <w:szCs w:val="24"/>
            </w:rPr>
            <w:fldChar w:fldCharType="begin"/>
          </w:r>
          <w:r>
            <w:rPr>
              <w:sz w:val="28"/>
              <w:szCs w:val="24"/>
            </w:rPr>
            <w:instrText xml:space="preserve"> HYPERLINK \l _Toc26905 </w:instrText>
          </w:r>
          <w:r>
            <w:rPr>
              <w:sz w:val="28"/>
              <w:szCs w:val="24"/>
            </w:rPr>
            <w:fldChar w:fldCharType="separate"/>
          </w:r>
          <w:r>
            <w:rPr>
              <w:rFonts w:hint="eastAsia" w:ascii="楷体_GB2312" w:hAnsi="楷体_GB2312" w:eastAsia="楷体_GB2312" w:cs="楷体_GB2312"/>
              <w:bCs/>
              <w:kern w:val="0"/>
              <w:sz w:val="28"/>
              <w:szCs w:val="44"/>
              <w:lang w:val="en-US" w:eastAsia="zh-CN"/>
            </w:rPr>
            <w:t>（三）</w:t>
          </w:r>
          <w:r>
            <w:rPr>
              <w:rFonts w:hint="eastAsia" w:ascii="楷体_GB2312" w:hAnsi="楷体_GB2312" w:eastAsia="楷体_GB2312" w:cs="楷体_GB2312"/>
              <w:bCs/>
              <w:kern w:val="0"/>
              <w:sz w:val="28"/>
              <w:szCs w:val="44"/>
            </w:rPr>
            <w:t>项目未编制自评表</w:t>
          </w:r>
          <w:r>
            <w:rPr>
              <w:sz w:val="28"/>
              <w:szCs w:val="24"/>
            </w:rPr>
            <w:tab/>
          </w:r>
          <w:r>
            <w:rPr>
              <w:sz w:val="28"/>
              <w:szCs w:val="24"/>
            </w:rPr>
            <w:fldChar w:fldCharType="begin"/>
          </w:r>
          <w:r>
            <w:rPr>
              <w:sz w:val="28"/>
              <w:szCs w:val="24"/>
            </w:rPr>
            <w:instrText xml:space="preserve"> PAGEREF _Toc26905 \h </w:instrText>
          </w:r>
          <w:r>
            <w:rPr>
              <w:sz w:val="28"/>
              <w:szCs w:val="24"/>
            </w:rPr>
            <w:fldChar w:fldCharType="separate"/>
          </w:r>
          <w:r>
            <w:rPr>
              <w:sz w:val="28"/>
              <w:szCs w:val="24"/>
            </w:rPr>
            <w:t>15</w:t>
          </w:r>
          <w:r>
            <w:rPr>
              <w:sz w:val="28"/>
              <w:szCs w:val="24"/>
            </w:rPr>
            <w:fldChar w:fldCharType="end"/>
          </w:r>
          <w:r>
            <w:rPr>
              <w:sz w:val="28"/>
              <w:szCs w:val="24"/>
            </w:rPr>
            <w:fldChar w:fldCharType="end"/>
          </w:r>
        </w:p>
        <w:p w14:paraId="08CA2692">
          <w:pPr>
            <w:pStyle w:val="10"/>
            <w:tabs>
              <w:tab w:val="right" w:leader="dot" w:pos="8250"/>
            </w:tabs>
            <w:rPr>
              <w:sz w:val="28"/>
              <w:szCs w:val="24"/>
            </w:rPr>
          </w:pPr>
          <w:r>
            <w:rPr>
              <w:sz w:val="28"/>
              <w:szCs w:val="24"/>
            </w:rPr>
            <w:fldChar w:fldCharType="begin"/>
          </w:r>
          <w:r>
            <w:rPr>
              <w:sz w:val="28"/>
              <w:szCs w:val="24"/>
            </w:rPr>
            <w:instrText xml:space="preserve"> HYPERLINK \l _Toc24916 </w:instrText>
          </w:r>
          <w:r>
            <w:rPr>
              <w:sz w:val="28"/>
              <w:szCs w:val="24"/>
            </w:rPr>
            <w:fldChar w:fldCharType="separate"/>
          </w:r>
          <w:r>
            <w:rPr>
              <w:rFonts w:hint="eastAsia" w:ascii="楷体_GB2312" w:hAnsi="楷体_GB2312" w:eastAsia="楷体_GB2312" w:cs="楷体_GB2312"/>
              <w:bCs/>
              <w:kern w:val="0"/>
              <w:sz w:val="28"/>
              <w:szCs w:val="44"/>
            </w:rPr>
            <w:t>（</w:t>
          </w:r>
          <w:r>
            <w:rPr>
              <w:rFonts w:hint="eastAsia" w:ascii="楷体_GB2312" w:hAnsi="楷体_GB2312" w:eastAsia="楷体_GB2312" w:cs="楷体_GB2312"/>
              <w:bCs/>
              <w:kern w:val="0"/>
              <w:sz w:val="28"/>
              <w:szCs w:val="44"/>
              <w:lang w:val="en-US" w:eastAsia="zh-CN"/>
            </w:rPr>
            <w:t>四</w:t>
          </w:r>
          <w:r>
            <w:rPr>
              <w:rFonts w:hint="eastAsia" w:ascii="楷体_GB2312" w:hAnsi="楷体_GB2312" w:eastAsia="楷体_GB2312" w:cs="楷体_GB2312"/>
              <w:bCs/>
              <w:kern w:val="0"/>
              <w:sz w:val="28"/>
              <w:szCs w:val="44"/>
            </w:rPr>
            <w:t>）项目成本超支</w:t>
          </w:r>
          <w:r>
            <w:rPr>
              <w:sz w:val="28"/>
              <w:szCs w:val="24"/>
            </w:rPr>
            <w:tab/>
          </w:r>
          <w:r>
            <w:rPr>
              <w:sz w:val="28"/>
              <w:szCs w:val="24"/>
            </w:rPr>
            <w:fldChar w:fldCharType="begin"/>
          </w:r>
          <w:r>
            <w:rPr>
              <w:sz w:val="28"/>
              <w:szCs w:val="24"/>
            </w:rPr>
            <w:instrText xml:space="preserve"> PAGEREF _Toc24916 \h </w:instrText>
          </w:r>
          <w:r>
            <w:rPr>
              <w:sz w:val="28"/>
              <w:szCs w:val="24"/>
            </w:rPr>
            <w:fldChar w:fldCharType="separate"/>
          </w:r>
          <w:r>
            <w:rPr>
              <w:sz w:val="28"/>
              <w:szCs w:val="24"/>
            </w:rPr>
            <w:t>15</w:t>
          </w:r>
          <w:r>
            <w:rPr>
              <w:sz w:val="28"/>
              <w:szCs w:val="24"/>
            </w:rPr>
            <w:fldChar w:fldCharType="end"/>
          </w:r>
          <w:r>
            <w:rPr>
              <w:sz w:val="28"/>
              <w:szCs w:val="24"/>
            </w:rPr>
            <w:fldChar w:fldCharType="end"/>
          </w:r>
        </w:p>
        <w:p w14:paraId="3F509A47">
          <w:pPr>
            <w:pStyle w:val="9"/>
            <w:tabs>
              <w:tab w:val="right" w:leader="dot" w:pos="8250"/>
            </w:tabs>
            <w:rPr>
              <w:sz w:val="28"/>
              <w:szCs w:val="24"/>
            </w:rPr>
          </w:pPr>
          <w:r>
            <w:rPr>
              <w:sz w:val="28"/>
              <w:szCs w:val="24"/>
            </w:rPr>
            <w:fldChar w:fldCharType="begin"/>
          </w:r>
          <w:r>
            <w:rPr>
              <w:sz w:val="28"/>
              <w:szCs w:val="24"/>
            </w:rPr>
            <w:instrText xml:space="preserve"> HYPERLINK \l _Toc29483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_Toc29483 \h </w:instrText>
          </w:r>
          <w:r>
            <w:rPr>
              <w:sz w:val="28"/>
              <w:szCs w:val="24"/>
            </w:rPr>
            <w:fldChar w:fldCharType="separate"/>
          </w:r>
          <w:r>
            <w:rPr>
              <w:sz w:val="28"/>
              <w:szCs w:val="24"/>
            </w:rPr>
            <w:t>15</w:t>
          </w:r>
          <w:r>
            <w:rPr>
              <w:sz w:val="28"/>
              <w:szCs w:val="24"/>
            </w:rPr>
            <w:fldChar w:fldCharType="end"/>
          </w:r>
          <w:r>
            <w:rPr>
              <w:sz w:val="28"/>
              <w:szCs w:val="24"/>
            </w:rPr>
            <w:fldChar w:fldCharType="end"/>
          </w:r>
        </w:p>
        <w:p w14:paraId="07E53387">
          <w:pPr>
            <w:pStyle w:val="10"/>
            <w:tabs>
              <w:tab w:val="right" w:leader="dot" w:pos="8250"/>
            </w:tabs>
            <w:rPr>
              <w:sz w:val="28"/>
              <w:szCs w:val="24"/>
            </w:rPr>
          </w:pPr>
          <w:r>
            <w:rPr>
              <w:sz w:val="28"/>
              <w:szCs w:val="24"/>
            </w:rPr>
            <w:fldChar w:fldCharType="begin"/>
          </w:r>
          <w:r>
            <w:rPr>
              <w:sz w:val="28"/>
              <w:szCs w:val="24"/>
            </w:rPr>
            <w:instrText xml:space="preserve"> HYPERLINK \l _Toc65 </w:instrText>
          </w:r>
          <w:r>
            <w:rPr>
              <w:sz w:val="28"/>
              <w:szCs w:val="24"/>
            </w:rPr>
            <w:fldChar w:fldCharType="separate"/>
          </w:r>
          <w:r>
            <w:rPr>
              <w:rFonts w:hint="eastAsia" w:ascii="楷体_GB2312" w:hAnsi="楷体_GB2312" w:eastAsia="楷体_GB2312" w:cs="楷体_GB2312"/>
              <w:bCs/>
              <w:kern w:val="0"/>
              <w:sz w:val="28"/>
              <w:szCs w:val="44"/>
              <w:lang w:val="en-US" w:eastAsia="zh-CN"/>
            </w:rPr>
            <w:t>（一）根据项目实际情况准确设置绩效目标及指标</w:t>
          </w:r>
          <w:r>
            <w:rPr>
              <w:sz w:val="28"/>
              <w:szCs w:val="24"/>
            </w:rPr>
            <w:tab/>
          </w:r>
          <w:r>
            <w:rPr>
              <w:sz w:val="28"/>
              <w:szCs w:val="24"/>
            </w:rPr>
            <w:fldChar w:fldCharType="begin"/>
          </w:r>
          <w:r>
            <w:rPr>
              <w:sz w:val="28"/>
              <w:szCs w:val="24"/>
            </w:rPr>
            <w:instrText xml:space="preserve"> PAGEREF _Toc65 \h </w:instrText>
          </w:r>
          <w:r>
            <w:rPr>
              <w:sz w:val="28"/>
              <w:szCs w:val="24"/>
            </w:rPr>
            <w:fldChar w:fldCharType="separate"/>
          </w:r>
          <w:r>
            <w:rPr>
              <w:sz w:val="28"/>
              <w:szCs w:val="24"/>
            </w:rPr>
            <w:t>16</w:t>
          </w:r>
          <w:r>
            <w:rPr>
              <w:sz w:val="28"/>
              <w:szCs w:val="24"/>
            </w:rPr>
            <w:fldChar w:fldCharType="end"/>
          </w:r>
          <w:r>
            <w:rPr>
              <w:sz w:val="28"/>
              <w:szCs w:val="24"/>
            </w:rPr>
            <w:fldChar w:fldCharType="end"/>
          </w:r>
        </w:p>
        <w:p w14:paraId="3BD77807">
          <w:pPr>
            <w:pStyle w:val="10"/>
            <w:tabs>
              <w:tab w:val="right" w:leader="dot" w:pos="8250"/>
            </w:tabs>
            <w:rPr>
              <w:sz w:val="28"/>
              <w:szCs w:val="24"/>
            </w:rPr>
          </w:pPr>
          <w:r>
            <w:rPr>
              <w:sz w:val="28"/>
              <w:szCs w:val="24"/>
            </w:rPr>
            <w:fldChar w:fldCharType="begin"/>
          </w:r>
          <w:r>
            <w:rPr>
              <w:sz w:val="28"/>
              <w:szCs w:val="24"/>
            </w:rPr>
            <w:instrText xml:space="preserve"> HYPERLINK \l _Toc15005 </w:instrText>
          </w:r>
          <w:r>
            <w:rPr>
              <w:sz w:val="28"/>
              <w:szCs w:val="24"/>
            </w:rPr>
            <w:fldChar w:fldCharType="separate"/>
          </w:r>
          <w:r>
            <w:rPr>
              <w:rFonts w:hint="eastAsia" w:ascii="楷体_GB2312" w:hAnsi="楷体_GB2312" w:eastAsia="楷体_GB2312" w:cs="楷体_GB2312"/>
              <w:bCs/>
              <w:kern w:val="0"/>
              <w:sz w:val="28"/>
              <w:szCs w:val="44"/>
              <w:lang w:val="en-US" w:eastAsia="zh-CN"/>
            </w:rPr>
            <w:t>（二）按照规定的采购程序实施项目</w:t>
          </w:r>
          <w:r>
            <w:rPr>
              <w:sz w:val="28"/>
              <w:szCs w:val="24"/>
            </w:rPr>
            <w:tab/>
          </w:r>
          <w:r>
            <w:rPr>
              <w:sz w:val="28"/>
              <w:szCs w:val="24"/>
            </w:rPr>
            <w:fldChar w:fldCharType="begin"/>
          </w:r>
          <w:r>
            <w:rPr>
              <w:sz w:val="28"/>
              <w:szCs w:val="24"/>
            </w:rPr>
            <w:instrText xml:space="preserve"> PAGEREF _Toc15005 \h </w:instrText>
          </w:r>
          <w:r>
            <w:rPr>
              <w:sz w:val="28"/>
              <w:szCs w:val="24"/>
            </w:rPr>
            <w:fldChar w:fldCharType="separate"/>
          </w:r>
          <w:r>
            <w:rPr>
              <w:sz w:val="28"/>
              <w:szCs w:val="24"/>
            </w:rPr>
            <w:t>16</w:t>
          </w:r>
          <w:r>
            <w:rPr>
              <w:sz w:val="28"/>
              <w:szCs w:val="24"/>
            </w:rPr>
            <w:fldChar w:fldCharType="end"/>
          </w:r>
          <w:r>
            <w:rPr>
              <w:sz w:val="28"/>
              <w:szCs w:val="24"/>
            </w:rPr>
            <w:fldChar w:fldCharType="end"/>
          </w:r>
        </w:p>
        <w:p w14:paraId="1D3DA246">
          <w:pPr>
            <w:pStyle w:val="10"/>
            <w:tabs>
              <w:tab w:val="right" w:leader="dot" w:pos="8250"/>
            </w:tabs>
            <w:rPr>
              <w:sz w:val="28"/>
              <w:szCs w:val="24"/>
            </w:rPr>
          </w:pPr>
          <w:r>
            <w:rPr>
              <w:sz w:val="28"/>
              <w:szCs w:val="24"/>
            </w:rPr>
            <w:fldChar w:fldCharType="begin"/>
          </w:r>
          <w:r>
            <w:rPr>
              <w:sz w:val="28"/>
              <w:szCs w:val="24"/>
            </w:rPr>
            <w:instrText xml:space="preserve"> HYPERLINK \l _Toc10848 </w:instrText>
          </w:r>
          <w:r>
            <w:rPr>
              <w:sz w:val="28"/>
              <w:szCs w:val="24"/>
            </w:rPr>
            <w:fldChar w:fldCharType="separate"/>
          </w:r>
          <w:r>
            <w:rPr>
              <w:rFonts w:hint="eastAsia" w:ascii="楷体_GB2312" w:hAnsi="楷体_GB2312" w:eastAsia="楷体_GB2312" w:cs="楷体_GB2312"/>
              <w:bCs/>
              <w:kern w:val="0"/>
              <w:sz w:val="28"/>
              <w:szCs w:val="44"/>
              <w:lang w:val="en-US" w:eastAsia="zh-CN"/>
            </w:rPr>
            <w:t>（三）项目完成后及时编制绩效自评表</w:t>
          </w:r>
          <w:r>
            <w:rPr>
              <w:sz w:val="28"/>
              <w:szCs w:val="24"/>
            </w:rPr>
            <w:tab/>
          </w:r>
          <w:r>
            <w:rPr>
              <w:sz w:val="28"/>
              <w:szCs w:val="24"/>
            </w:rPr>
            <w:fldChar w:fldCharType="begin"/>
          </w:r>
          <w:r>
            <w:rPr>
              <w:sz w:val="28"/>
              <w:szCs w:val="24"/>
            </w:rPr>
            <w:instrText xml:space="preserve"> PAGEREF _Toc10848 \h </w:instrText>
          </w:r>
          <w:r>
            <w:rPr>
              <w:sz w:val="28"/>
              <w:szCs w:val="24"/>
            </w:rPr>
            <w:fldChar w:fldCharType="separate"/>
          </w:r>
          <w:r>
            <w:rPr>
              <w:sz w:val="28"/>
              <w:szCs w:val="24"/>
            </w:rPr>
            <w:t>16</w:t>
          </w:r>
          <w:r>
            <w:rPr>
              <w:sz w:val="28"/>
              <w:szCs w:val="24"/>
            </w:rPr>
            <w:fldChar w:fldCharType="end"/>
          </w:r>
          <w:r>
            <w:rPr>
              <w:sz w:val="28"/>
              <w:szCs w:val="24"/>
            </w:rPr>
            <w:fldChar w:fldCharType="end"/>
          </w:r>
        </w:p>
        <w:p w14:paraId="4DB9E84F">
          <w:pPr>
            <w:pStyle w:val="10"/>
            <w:tabs>
              <w:tab w:val="right" w:leader="dot" w:pos="8250"/>
            </w:tabs>
            <w:rPr>
              <w:sz w:val="28"/>
              <w:szCs w:val="24"/>
            </w:rPr>
          </w:pPr>
          <w:r>
            <w:rPr>
              <w:sz w:val="28"/>
              <w:szCs w:val="24"/>
            </w:rPr>
            <w:fldChar w:fldCharType="begin"/>
          </w:r>
          <w:r>
            <w:rPr>
              <w:sz w:val="28"/>
              <w:szCs w:val="24"/>
            </w:rPr>
            <w:instrText xml:space="preserve"> HYPERLINK \l _Toc29566 </w:instrText>
          </w:r>
          <w:r>
            <w:rPr>
              <w:sz w:val="28"/>
              <w:szCs w:val="24"/>
            </w:rPr>
            <w:fldChar w:fldCharType="separate"/>
          </w:r>
          <w:r>
            <w:rPr>
              <w:rFonts w:hint="eastAsia" w:ascii="楷体_GB2312" w:hAnsi="楷体_GB2312" w:eastAsia="楷体_GB2312" w:cs="楷体_GB2312"/>
              <w:bCs/>
              <w:kern w:val="0"/>
              <w:sz w:val="28"/>
              <w:szCs w:val="44"/>
              <w:lang w:val="en-US" w:eastAsia="zh-CN"/>
            </w:rPr>
            <w:t>（四）合理规划工作任务，努力控制项目成本</w:t>
          </w:r>
          <w:r>
            <w:rPr>
              <w:sz w:val="28"/>
              <w:szCs w:val="24"/>
            </w:rPr>
            <w:tab/>
          </w:r>
          <w:r>
            <w:rPr>
              <w:sz w:val="28"/>
              <w:szCs w:val="24"/>
            </w:rPr>
            <w:fldChar w:fldCharType="begin"/>
          </w:r>
          <w:r>
            <w:rPr>
              <w:sz w:val="28"/>
              <w:szCs w:val="24"/>
            </w:rPr>
            <w:instrText xml:space="preserve"> PAGEREF _Toc29566 \h </w:instrText>
          </w:r>
          <w:r>
            <w:rPr>
              <w:sz w:val="28"/>
              <w:szCs w:val="24"/>
            </w:rPr>
            <w:fldChar w:fldCharType="separate"/>
          </w:r>
          <w:r>
            <w:rPr>
              <w:sz w:val="28"/>
              <w:szCs w:val="24"/>
            </w:rPr>
            <w:t>16</w:t>
          </w:r>
          <w:r>
            <w:rPr>
              <w:sz w:val="28"/>
              <w:szCs w:val="24"/>
            </w:rPr>
            <w:fldChar w:fldCharType="end"/>
          </w:r>
          <w:r>
            <w:rPr>
              <w:sz w:val="28"/>
              <w:szCs w:val="24"/>
            </w:rPr>
            <w:fldChar w:fldCharType="end"/>
          </w:r>
        </w:p>
        <w:p w14:paraId="6352775D">
          <w:pPr>
            <w:pStyle w:val="9"/>
            <w:tabs>
              <w:tab w:val="right" w:leader="dot" w:pos="8250"/>
            </w:tabs>
            <w:rPr>
              <w:sz w:val="28"/>
              <w:szCs w:val="24"/>
            </w:rPr>
          </w:pPr>
          <w:r>
            <w:rPr>
              <w:sz w:val="28"/>
              <w:szCs w:val="24"/>
            </w:rPr>
            <w:fldChar w:fldCharType="begin"/>
          </w:r>
          <w:r>
            <w:rPr>
              <w:sz w:val="28"/>
              <w:szCs w:val="24"/>
            </w:rPr>
            <w:instrText xml:space="preserve"> HYPERLINK \l _Toc12321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_Toc12321 \h </w:instrText>
          </w:r>
          <w:r>
            <w:rPr>
              <w:sz w:val="28"/>
              <w:szCs w:val="24"/>
            </w:rPr>
            <w:fldChar w:fldCharType="separate"/>
          </w:r>
          <w:r>
            <w:rPr>
              <w:sz w:val="28"/>
              <w:szCs w:val="24"/>
            </w:rPr>
            <w:t>17</w:t>
          </w:r>
          <w:r>
            <w:rPr>
              <w:sz w:val="28"/>
              <w:szCs w:val="24"/>
            </w:rPr>
            <w:fldChar w:fldCharType="end"/>
          </w:r>
          <w:r>
            <w:rPr>
              <w:sz w:val="28"/>
              <w:szCs w:val="24"/>
            </w:rPr>
            <w:fldChar w:fldCharType="end"/>
          </w:r>
        </w:p>
        <w:p w14:paraId="109485CB">
          <w:pPr>
            <w:jc w:val="center"/>
          </w:pPr>
          <w:r>
            <w:rPr>
              <w:b/>
            </w:rPr>
            <w:fldChar w:fldCharType="end"/>
          </w:r>
          <w:bookmarkStart w:id="3" w:name="_Toc7428"/>
        </w:p>
      </w:sdtContent>
    </w:sdt>
    <w:p w14:paraId="37C6C401">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383BCBE0">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447"/>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54C1BE93">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进一步完善土地资源市场配置，加强对地下文物的保护，实现基本建设与文物保护协调发展，宝鸡市人民政府于2023年11月16日发布《宝鸡市基本建设工程考古工作管理办法》。扶风县文物局于2023年9月18日以《关于申请扶风县标准地建设文物勘探的报告》，申请承担扶风县城新区东大门外，西临绛法公路、南临东大街、东至扶杨生态园、北至扶杨生产路的779.72亩项目用地文物勘探工作。项目主管部门为扶风县文化和旅游局，由扶风县文化和旅游局实施。项目预算资金100万元，项目到位资金100万元，项目</w:t>
      </w:r>
      <w:r>
        <w:rPr>
          <w:rFonts w:hint="eastAsia" w:ascii="仿宋" w:hAnsi="仿宋" w:eastAsia="仿宋" w:cs="仿宋"/>
          <w:kern w:val="0"/>
          <w:sz w:val="32"/>
          <w:szCs w:val="32"/>
          <w:lang w:val="en-US" w:eastAsia="zh-CN"/>
        </w:rPr>
        <w:t>支出</w:t>
      </w:r>
      <w:r>
        <w:rPr>
          <w:rFonts w:hint="eastAsia" w:ascii="仿宋" w:hAnsi="仿宋" w:eastAsia="仿宋" w:cs="仿宋"/>
          <w:kern w:val="0"/>
          <w:sz w:val="32"/>
          <w:szCs w:val="32"/>
        </w:rPr>
        <w:t>0万元，项目结余资金100万元。</w:t>
      </w:r>
    </w:p>
    <w:p w14:paraId="40AAFB4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按照确定的评分细则，对各项指标逐一评价打分，标准地建设文勘经费绩效评价得分为</w:t>
      </w:r>
      <w:r>
        <w:rPr>
          <w:rFonts w:hint="eastAsia" w:ascii="仿宋" w:hAnsi="仿宋" w:eastAsia="仿宋" w:cs="仿宋"/>
          <w:kern w:val="0"/>
          <w:sz w:val="32"/>
          <w:szCs w:val="32"/>
          <w:lang w:val="en-US" w:eastAsia="zh-CN"/>
        </w:rPr>
        <w:t>89.56</w:t>
      </w:r>
      <w:r>
        <w:rPr>
          <w:rFonts w:hint="eastAsia" w:ascii="仿宋" w:hAnsi="仿宋" w:eastAsia="仿宋" w:cs="仿宋"/>
          <w:kern w:val="0"/>
          <w:sz w:val="32"/>
          <w:szCs w:val="32"/>
        </w:rPr>
        <w:t>分，评价结果等级为“良”。</w:t>
      </w:r>
    </w:p>
    <w:p w14:paraId="19E059C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存在的问题：</w:t>
      </w:r>
      <w:r>
        <w:rPr>
          <w:rFonts w:hint="eastAsia" w:ascii="仿宋" w:hAnsi="仿宋" w:eastAsia="仿宋" w:cs="仿宋"/>
          <w:kern w:val="0"/>
          <w:sz w:val="32"/>
          <w:szCs w:val="32"/>
          <w:lang w:val="en-US" w:eastAsia="zh-CN"/>
        </w:rPr>
        <w:t>①</w:t>
      </w:r>
      <w:r>
        <w:rPr>
          <w:rFonts w:hint="eastAsia" w:ascii="仿宋" w:hAnsi="仿宋" w:eastAsia="仿宋" w:cs="仿宋"/>
          <w:kern w:val="0"/>
          <w:sz w:val="32"/>
          <w:szCs w:val="32"/>
        </w:rPr>
        <w:t>项目没有设置具体的绩效指标；</w:t>
      </w:r>
      <w:r>
        <w:rPr>
          <w:rFonts w:hint="eastAsia" w:ascii="仿宋" w:hAnsi="仿宋" w:eastAsia="仿宋" w:cs="仿宋"/>
          <w:kern w:val="0"/>
          <w:sz w:val="32"/>
          <w:szCs w:val="32"/>
          <w:lang w:val="en-US" w:eastAsia="zh-CN"/>
        </w:rPr>
        <w:t>②</w:t>
      </w:r>
      <w:r>
        <w:rPr>
          <w:rFonts w:hint="eastAsia" w:ascii="仿宋" w:hAnsi="仿宋" w:eastAsia="仿宋" w:cs="仿宋"/>
          <w:kern w:val="0"/>
          <w:sz w:val="32"/>
          <w:szCs w:val="32"/>
        </w:rPr>
        <w:t>项目采购程序不合规；</w:t>
      </w:r>
      <w:r>
        <w:rPr>
          <w:rFonts w:hint="eastAsia" w:ascii="仿宋" w:hAnsi="仿宋" w:eastAsia="仿宋" w:cs="仿宋"/>
          <w:kern w:val="0"/>
          <w:sz w:val="32"/>
          <w:szCs w:val="32"/>
          <w:lang w:val="en-US" w:eastAsia="zh-CN"/>
        </w:rPr>
        <w:t>③</w:t>
      </w:r>
      <w:r>
        <w:rPr>
          <w:rFonts w:hint="eastAsia" w:ascii="仿宋" w:hAnsi="仿宋" w:eastAsia="仿宋" w:cs="仿宋"/>
          <w:kern w:val="0"/>
          <w:sz w:val="32"/>
          <w:szCs w:val="32"/>
        </w:rPr>
        <w:t>项目未编制自评表；</w:t>
      </w:r>
      <w:r>
        <w:rPr>
          <w:rFonts w:hint="eastAsia" w:ascii="仿宋" w:hAnsi="仿宋" w:eastAsia="仿宋" w:cs="仿宋"/>
          <w:kern w:val="0"/>
          <w:sz w:val="32"/>
          <w:szCs w:val="32"/>
          <w:lang w:val="en-US" w:eastAsia="zh-CN"/>
        </w:rPr>
        <w:t>④</w:t>
      </w:r>
      <w:r>
        <w:rPr>
          <w:rFonts w:hint="eastAsia" w:ascii="仿宋" w:hAnsi="仿宋" w:eastAsia="仿宋" w:cs="仿宋"/>
          <w:kern w:val="0"/>
          <w:sz w:val="32"/>
          <w:szCs w:val="32"/>
        </w:rPr>
        <w:t>项目成本超支。</w:t>
      </w:r>
    </w:p>
    <w:p w14:paraId="4317A6B5">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556790F5">
      <w:pPr>
        <w:spacing w:line="600" w:lineRule="exact"/>
        <w:jc w:val="center"/>
        <w:outlineLvl w:val="9"/>
        <w:rPr>
          <w:rFonts w:hint="eastAsia" w:ascii="方正小标宋_GBK" w:hAnsi="方正小标宋_GBK" w:eastAsia="方正小标宋_GBK" w:cs="方正小标宋_GBK"/>
          <w:b/>
          <w:bCs/>
          <w:kern w:val="2"/>
          <w:sz w:val="36"/>
          <w:szCs w:val="36"/>
        </w:rPr>
      </w:pPr>
      <w:r>
        <w:rPr>
          <w:rFonts w:hint="eastAsia" w:ascii="方正小标宋_GBK" w:hAnsi="方正小标宋_GBK" w:eastAsia="方正小标宋_GBK" w:cs="方正小标宋_GBK"/>
          <w:b/>
          <w:bCs/>
          <w:kern w:val="2"/>
          <w:sz w:val="36"/>
          <w:szCs w:val="36"/>
        </w:rPr>
        <w:t>标准地建设文勘经费</w:t>
      </w:r>
      <w:bookmarkStart w:id="5" w:name="_Toc3198"/>
      <w:bookmarkStart w:id="6" w:name="_Toc3207"/>
    </w:p>
    <w:p w14:paraId="4424F140">
      <w:pPr>
        <w:spacing w:line="600" w:lineRule="exact"/>
        <w:jc w:val="center"/>
        <w:outlineLvl w:val="9"/>
        <w:rPr>
          <w:b/>
          <w:bCs/>
        </w:rPr>
      </w:pPr>
      <w:r>
        <w:rPr>
          <w:rFonts w:hint="eastAsia" w:ascii="方正小标宋_GBK" w:hAnsi="方正小标宋_GBK" w:eastAsia="方正小标宋_GBK" w:cs="方正小标宋_GBK"/>
          <w:b/>
          <w:bCs/>
          <w:kern w:val="2"/>
          <w:sz w:val="36"/>
          <w:szCs w:val="36"/>
        </w:rPr>
        <w:t>绩效评价报告</w:t>
      </w:r>
      <w:bookmarkEnd w:id="5"/>
      <w:bookmarkEnd w:id="6"/>
    </w:p>
    <w:p w14:paraId="217C3D09">
      <w:pPr>
        <w:spacing w:line="600" w:lineRule="exact"/>
        <w:ind w:firstLine="640" w:firstLineChars="200"/>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，对标准地建设文勘经费进行绩效评价。现将评价情况报告如下：</w:t>
      </w:r>
    </w:p>
    <w:p w14:paraId="3E50925C">
      <w:pPr>
        <w:spacing w:before="104" w:line="600" w:lineRule="exact"/>
        <w:ind w:firstLine="672"/>
        <w:outlineLvl w:val="0"/>
        <w:rPr>
          <w:rFonts w:ascii="黑体" w:hAnsi="黑体" w:eastAsia="黑体" w:cs="黑体"/>
          <w:spacing w:val="-2"/>
          <w:sz w:val="32"/>
          <w:szCs w:val="32"/>
        </w:rPr>
      </w:pPr>
      <w:bookmarkStart w:id="10" w:name="_Toc5050"/>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46B168BE">
      <w:pPr>
        <w:spacing w:line="600" w:lineRule="exact"/>
        <w:ind w:firstLine="643" w:firstLineChars="200"/>
        <w:outlineLvl w:val="1"/>
        <w:rPr>
          <w:rFonts w:ascii="楷体" w:hAnsi="楷体" w:eastAsia="楷体" w:cs="楷体"/>
          <w:b/>
          <w:bCs/>
          <w:kern w:val="0"/>
          <w:sz w:val="32"/>
          <w:szCs w:val="32"/>
        </w:rPr>
      </w:pPr>
      <w:bookmarkStart w:id="11" w:name="_Toc3001"/>
      <w:bookmarkStart w:id="12" w:name="_Toc4099"/>
      <w:bookmarkStart w:id="13" w:name="_Toc22255"/>
      <w:bookmarkStart w:id="14" w:name="_Toc24850"/>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710632FC">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6D79996C">
      <w:pPr>
        <w:spacing w:line="600" w:lineRule="exact"/>
        <w:ind w:firstLine="640" w:firstLineChars="200"/>
      </w:pPr>
      <w:r>
        <w:rPr>
          <w:rFonts w:ascii="仿宋" w:hAnsi="仿宋" w:eastAsia="仿宋" w:cs="仿宋"/>
          <w:kern w:val="0"/>
          <w:sz w:val="32"/>
          <w:szCs w:val="32"/>
        </w:rPr>
        <w:t>进一步完善土地资源市场配置，加强对地下文物的保护，实现基本建设与文物保护协调发展，宝鸡市人民政府于2023年11月16日发布《宝鸡市基本建设工程考古工作管理办法》。扶风县文物局于2023年9月18日以《关于申请扶风县标准地建设文物勘探的报告》，申请承担扶风县城新区东大门外，西临绛法公路、南临东大街、东至扶杨生态园、北至扶杨生产路的779.72亩项目用地文物勘探工作。</w:t>
      </w:r>
    </w:p>
    <w:p w14:paraId="1BF6DDBA">
      <w:pPr>
        <w:spacing w:line="600" w:lineRule="exact"/>
        <w:ind w:firstLine="643"/>
        <w:outlineLvl w:val="9"/>
        <w:rPr>
          <w:rFonts w:hint="eastAsia" w:ascii="仿宋" w:hAnsi="仿宋" w:cs="仿宋"/>
          <w:b/>
          <w:bCs/>
          <w:sz w:val="32"/>
          <w:szCs w:val="32"/>
        </w:rPr>
      </w:pPr>
      <w:bookmarkStart w:id="15" w:name="_Toc30940"/>
      <w:bookmarkStart w:id="16" w:name="_Toc2902"/>
      <w:bookmarkStart w:id="17" w:name="_Toc19838"/>
      <w:bookmarkStart w:id="18" w:name="_Toc24420"/>
      <w:bookmarkStart w:id="19" w:name="_Toc5307_WPSOffice_Level2"/>
      <w:bookmarkStart w:id="20" w:name="_Toc6691"/>
      <w:r>
        <w:rPr>
          <w:rFonts w:hint="eastAsia" w:ascii="仿宋" w:hAnsi="仿宋" w:cs="仿宋"/>
          <w:b/>
          <w:bCs/>
          <w:sz w:val="32"/>
          <w:szCs w:val="32"/>
        </w:rPr>
        <w:t>2.项目主要内容</w:t>
      </w:r>
    </w:p>
    <w:p w14:paraId="406735F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扶风县城新区东大门外，西临绛法公路、南临东大街、东至扶杨生态园、北至扶杨生产路的779.72亩项目用地文物勘探。</w:t>
      </w:r>
    </w:p>
    <w:p w14:paraId="789DD13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066D149A">
      <w:pPr>
        <w:spacing w:line="60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项目于2023年10月13日发布招标公告，于2023年10月23日通过公开招标确定陕西道和文物勘探建设工程有限公司为工程勘察服务单位，于2023年10月16日与宝鸡市考古研究所及陕西道和文物勘探建设工程有限公司签订三方合同，项目文物勘探工作已经完成</w:t>
      </w:r>
      <w:r>
        <w:rPr>
          <w:rFonts w:hint="eastAsia" w:ascii="仿宋" w:hAnsi="仿宋" w:eastAsia="仿宋" w:cs="仿宋"/>
          <w:kern w:val="0"/>
          <w:sz w:val="32"/>
          <w:szCs w:val="32"/>
          <w:lang w:eastAsia="zh-CN"/>
        </w:rPr>
        <w:t>。</w:t>
      </w:r>
    </w:p>
    <w:p w14:paraId="1C1EB52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0DE1E8A1">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扶风县财政局于2023年4月14日以《扶风县财政局关于下达财政预算支出指标的通知》（扶财办预〔2023〕030号）文件向扶风县文化和旅游局下达标准地建设文勘经费100万元。</w:t>
      </w:r>
    </w:p>
    <w:p w14:paraId="546A3C1E">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48A499AE">
      <w:pPr>
        <w:spacing w:line="600" w:lineRule="exact"/>
        <w:ind w:firstLine="640" w:firstLineChars="200"/>
      </w:pPr>
      <w:r>
        <w:rPr>
          <w:rFonts w:hint="eastAsia" w:ascii="仿宋" w:hAnsi="仿宋" w:eastAsia="仿宋" w:cs="仿宋"/>
          <w:kern w:val="0"/>
          <w:sz w:val="32"/>
          <w:szCs w:val="32"/>
        </w:rPr>
        <w:t>项目到位资金100万元，截</w:t>
      </w:r>
      <w:r>
        <w:rPr>
          <w:rFonts w:hint="eastAsia" w:ascii="仿宋" w:hAnsi="仿宋" w:eastAsia="仿宋" w:cs="仿宋"/>
          <w:kern w:val="0"/>
          <w:sz w:val="32"/>
          <w:szCs w:val="32"/>
          <w:lang w:val="en-US" w:eastAsia="zh-CN"/>
        </w:rPr>
        <w:t>至</w:t>
      </w:r>
      <w:r>
        <w:rPr>
          <w:rFonts w:hint="eastAsia" w:ascii="仿宋" w:hAnsi="仿宋" w:eastAsia="仿宋" w:cs="仿宋"/>
          <w:kern w:val="0"/>
          <w:sz w:val="32"/>
          <w:szCs w:val="32"/>
        </w:rPr>
        <w:t>2024年1月29日，项目实际支出101.6万元。</w:t>
      </w:r>
    </w:p>
    <w:p w14:paraId="76F2F6D3">
      <w:pPr>
        <w:spacing w:line="600" w:lineRule="exact"/>
        <w:ind w:firstLine="643" w:firstLineChars="200"/>
        <w:outlineLvl w:val="1"/>
        <w:rPr>
          <w:rFonts w:ascii="楷体" w:hAnsi="楷体" w:eastAsia="楷体" w:cs="楷体"/>
          <w:b/>
          <w:bCs/>
          <w:kern w:val="0"/>
          <w:sz w:val="32"/>
          <w:szCs w:val="32"/>
        </w:rPr>
      </w:pPr>
      <w:bookmarkStart w:id="21" w:name="_Toc21098"/>
      <w:r>
        <w:rPr>
          <w:rFonts w:hint="eastAsia" w:ascii="楷体" w:hAnsi="楷体" w:eastAsia="楷体" w:cs="楷体"/>
          <w:b/>
          <w:bCs/>
          <w:kern w:val="0"/>
          <w:sz w:val="32"/>
          <w:szCs w:val="32"/>
        </w:rPr>
        <w:t>（二）项目绩效目标</w:t>
      </w:r>
      <w:bookmarkEnd w:id="15"/>
      <w:bookmarkEnd w:id="16"/>
      <w:bookmarkEnd w:id="17"/>
      <w:bookmarkEnd w:id="21"/>
    </w:p>
    <w:bookmarkEnd w:id="18"/>
    <w:bookmarkEnd w:id="19"/>
    <w:bookmarkEnd w:id="20"/>
    <w:p w14:paraId="765F8C42">
      <w:pPr>
        <w:spacing w:line="600" w:lineRule="exact"/>
        <w:ind w:firstLine="640" w:firstLineChars="200"/>
        <w:rPr>
          <w:rFonts w:hint="eastAsia" w:ascii="仿宋" w:hAnsi="仿宋" w:eastAsia="仿宋" w:cs="仿宋"/>
          <w:kern w:val="0"/>
          <w:sz w:val="32"/>
          <w:szCs w:val="32"/>
        </w:rPr>
      </w:pPr>
      <w:bookmarkStart w:id="22" w:name="_Toc25596"/>
      <w:bookmarkStart w:id="23" w:name="_Toc22895"/>
      <w:bookmarkStart w:id="24" w:name="_Toc29537"/>
      <w:bookmarkStart w:id="25" w:name="_Toc16072"/>
      <w:bookmarkStart w:id="26" w:name="_Toc29155_WPSOffice_Level1"/>
      <w:bookmarkStart w:id="27" w:name="_Hlk2370114"/>
      <w:bookmarkStart w:id="28" w:name="_Toc28175_WPSOffice_Level1"/>
      <w:bookmarkStart w:id="29" w:name="_Toc3241_WPSOffice_Level1"/>
      <w:bookmarkStart w:id="30" w:name="_Toc21915"/>
      <w:bookmarkStart w:id="31" w:name="_Toc8245_WPSOffice_Level1"/>
      <w:bookmarkStart w:id="32" w:name="_Toc18785"/>
      <w:bookmarkStart w:id="33" w:name="_Toc6828_WPSOffice_Level1"/>
      <w:bookmarkStart w:id="34" w:name="_Toc28206"/>
      <w:bookmarkStart w:id="35" w:name="_Toc6281_WPSOffice_Level1"/>
      <w:bookmarkStart w:id="36" w:name="_Toc11420_WPSOffice_Level1"/>
      <w:bookmarkStart w:id="37" w:name="_Toc29074"/>
      <w:bookmarkStart w:id="38" w:name="_Toc751_WPSOffice_Level1"/>
      <w:r>
        <w:rPr>
          <w:rFonts w:hint="eastAsia" w:ascii="仿宋" w:hAnsi="仿宋" w:eastAsia="仿宋" w:cs="仿宋"/>
          <w:kern w:val="0"/>
          <w:sz w:val="32"/>
          <w:szCs w:val="32"/>
        </w:rPr>
        <w:t>1.项目总体目标</w:t>
      </w:r>
    </w:p>
    <w:p w14:paraId="621430CA">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为加快推进</w:t>
      </w:r>
      <w:r>
        <w:rPr>
          <w:rFonts w:hint="eastAsia" w:ascii="仿宋" w:hAnsi="仿宋" w:eastAsia="仿宋" w:cs="仿宋"/>
          <w:kern w:val="0"/>
          <w:sz w:val="32"/>
          <w:szCs w:val="32"/>
          <w:lang w:val="en-US" w:eastAsia="zh-CN"/>
        </w:rPr>
        <w:t>扶风</w:t>
      </w:r>
      <w:r>
        <w:rPr>
          <w:rFonts w:hint="eastAsia" w:ascii="仿宋" w:hAnsi="仿宋" w:eastAsia="仿宋" w:cs="仿宋"/>
          <w:kern w:val="0"/>
          <w:sz w:val="32"/>
          <w:szCs w:val="32"/>
        </w:rPr>
        <w:t>县“标准地”改革工作，进一步加强</w:t>
      </w:r>
      <w:r>
        <w:rPr>
          <w:rFonts w:hint="eastAsia" w:ascii="仿宋" w:hAnsi="仿宋" w:eastAsia="仿宋" w:cs="仿宋"/>
          <w:kern w:val="0"/>
          <w:sz w:val="32"/>
          <w:szCs w:val="32"/>
          <w:lang w:val="en-US" w:eastAsia="zh-CN"/>
        </w:rPr>
        <w:t>扶风</w:t>
      </w:r>
      <w:r>
        <w:rPr>
          <w:rFonts w:hint="eastAsia" w:ascii="仿宋" w:hAnsi="仿宋" w:eastAsia="仿宋" w:cs="仿宋"/>
          <w:kern w:val="0"/>
          <w:sz w:val="32"/>
          <w:szCs w:val="32"/>
        </w:rPr>
        <w:t>县基本建设工程中考古调查评估、勘探和发掘工作，确保地下埋藏文物安全。</w:t>
      </w:r>
    </w:p>
    <w:p w14:paraId="185AE86A">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（1）</w:t>
      </w:r>
      <w:r>
        <w:rPr>
          <w:rFonts w:hint="eastAsia" w:ascii="仿宋" w:hAnsi="仿宋" w:eastAsia="仿宋" w:cs="仿宋"/>
          <w:kern w:val="0"/>
          <w:sz w:val="32"/>
          <w:szCs w:val="32"/>
        </w:rPr>
        <w:t>产出指标</w:t>
      </w:r>
    </w:p>
    <w:p w14:paraId="0807C8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①数量指标。扶风县城新区东大门外，西临绛法公路、南临东大街、东至扶杨生态园、北至扶杨生产路的779.72亩项目用地文物勘探。</w:t>
      </w:r>
    </w:p>
    <w:p w14:paraId="4AEE8E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②质量指标。符合文物勘探规范标准。</w:t>
      </w:r>
    </w:p>
    <w:p w14:paraId="45F9D0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③时效指标。2023年度。</w:t>
      </w:r>
    </w:p>
    <w:p w14:paraId="1ED970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rPr>
        <w:t>效益指标</w:t>
      </w:r>
    </w:p>
    <w:p w14:paraId="1A063C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①社会效益。挖掘和保护历史文化遗产，为资源开发和环境保护提供科学依据。</w:t>
      </w:r>
    </w:p>
    <w:p w14:paraId="6A6D31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②满意度。群众满意度≥95%。</w:t>
      </w:r>
    </w:p>
    <w:p w14:paraId="5D6C5121">
      <w:pPr>
        <w:spacing w:before="104" w:line="600" w:lineRule="exact"/>
        <w:ind w:firstLine="672"/>
        <w:outlineLvl w:val="0"/>
        <w:rPr>
          <w:rFonts w:ascii="黑体" w:hAnsi="黑体" w:eastAsia="黑体" w:cs="黑体"/>
          <w:spacing w:val="-2"/>
          <w:sz w:val="32"/>
          <w:szCs w:val="32"/>
        </w:rPr>
      </w:pPr>
      <w:bookmarkStart w:id="39" w:name="_Toc15270"/>
      <w:r>
        <w:rPr>
          <w:rFonts w:hint="eastAsia" w:ascii="黑体" w:hAnsi="黑体" w:eastAsia="黑体" w:cs="黑体"/>
          <w:spacing w:val="-2"/>
          <w:sz w:val="32"/>
          <w:szCs w:val="32"/>
        </w:rPr>
        <w:t>二、绩效评价工作开展情况</w:t>
      </w:r>
      <w:bookmarkEnd w:id="22"/>
      <w:bookmarkEnd w:id="23"/>
      <w:bookmarkEnd w:id="39"/>
      <w:bookmarkStart w:id="40" w:name="_Toc30013"/>
      <w:bookmarkStart w:id="41" w:name="_Toc4270"/>
      <w:bookmarkStart w:id="42" w:name="_Toc1319"/>
      <w:bookmarkStart w:id="43" w:name="_Toc1360"/>
    </w:p>
    <w:p w14:paraId="6FAA5218">
      <w:pPr>
        <w:spacing w:before="104" w:line="600" w:lineRule="exact"/>
        <w:ind w:firstLine="672"/>
        <w:outlineLvl w:val="1"/>
      </w:pPr>
      <w:bookmarkStart w:id="44" w:name="_Toc11279"/>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21C9D33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标准地建设文勘经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580AE9C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2CFAAA7F">
      <w:pPr>
        <w:spacing w:line="600" w:lineRule="exact"/>
        <w:ind w:firstLine="643" w:firstLineChars="200"/>
        <w:outlineLvl w:val="1"/>
        <w:rPr>
          <w:rFonts w:ascii="楷体" w:hAnsi="楷体" w:eastAsia="楷体" w:cs="楷体"/>
          <w:b/>
          <w:bCs/>
          <w:kern w:val="0"/>
          <w:sz w:val="32"/>
          <w:szCs w:val="32"/>
        </w:rPr>
      </w:pPr>
      <w:bookmarkStart w:id="45" w:name="_Toc17204"/>
      <w:bookmarkStart w:id="46" w:name="_Toc18097"/>
      <w:bookmarkStart w:id="47" w:name="_Toc14910"/>
      <w:bookmarkStart w:id="48" w:name="_Toc24104"/>
      <w:bookmarkStart w:id="49" w:name="_Toc2196"/>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00B9772E">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71D2667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1B7316D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6CB2484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4257D27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6BF8CF7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5D2BB1B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012C6D6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40E111D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（8）反馈原则。将评价的结果反馈给委托部门，作为有关部门以后年度安排项目预算、加强项目管理等工作的重要依据。 </w:t>
      </w:r>
    </w:p>
    <w:p w14:paraId="4DE7839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20BC42D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05B41E7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0C411EE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2CD9FA38">
      <w:pPr>
        <w:spacing w:line="600" w:lineRule="exact"/>
        <w:ind w:firstLine="643"/>
        <w:outlineLvl w:val="9"/>
        <w:rPr>
          <w:rFonts w:ascii="仿宋" w:hAnsi="仿宋" w:cs="仿宋"/>
          <w:b/>
          <w:bCs/>
          <w:sz w:val="32"/>
          <w:szCs w:val="32"/>
        </w:rPr>
      </w:pPr>
      <w:r>
        <w:rPr>
          <w:rFonts w:hint="eastAsia" w:ascii="仿宋" w:hAnsi="仿宋" w:cs="仿宋"/>
          <w:b/>
          <w:bCs/>
          <w:sz w:val="32"/>
          <w:szCs w:val="32"/>
        </w:rPr>
        <w:t>3.评价方法</w:t>
      </w:r>
    </w:p>
    <w:p w14:paraId="17401EA7">
      <w:pPr>
        <w:spacing w:line="600" w:lineRule="exact"/>
        <w:ind w:firstLine="640" w:firstLineChars="200"/>
        <w:rPr>
          <w:rFonts w:ascii="仿宋" w:hAnsi="仿宋" w:eastAsia="仿宋" w:cs="仿宋"/>
          <w:kern w:val="0"/>
          <w:sz w:val="32"/>
          <w:szCs w:val="32"/>
        </w:rPr>
      </w:pPr>
      <w:bookmarkStart w:id="50" w:name="_Toc1910"/>
      <w:bookmarkStart w:id="51" w:name="_Toc29066"/>
      <w:bookmarkStart w:id="52" w:name="_Toc19283"/>
      <w:r>
        <w:rPr>
          <w:rFonts w:ascii="仿宋" w:hAnsi="仿宋" w:eastAsia="仿宋" w:cs="仿宋"/>
          <w:kern w:val="0"/>
          <w:sz w:val="32"/>
          <w:szCs w:val="32"/>
        </w:rPr>
        <w:t>本次评价由扶风县财政局组织实施</w:t>
      </w:r>
      <w:r>
        <w:rPr>
          <w:rFonts w:hint="eastAsia" w:ascii="仿宋" w:hAnsi="仿宋" w:eastAsia="仿宋" w:cs="仿宋"/>
          <w:kern w:val="0"/>
          <w:sz w:val="32"/>
          <w:szCs w:val="32"/>
          <w:lang w:eastAsia="zh-CN"/>
        </w:rPr>
        <w:t>，</w:t>
      </w:r>
      <w:r>
        <w:rPr>
          <w:rFonts w:ascii="仿宋" w:hAnsi="仿宋" w:eastAsia="仿宋" w:cs="仿宋"/>
          <w:kern w:val="0"/>
          <w:sz w:val="32"/>
          <w:szCs w:val="32"/>
        </w:rPr>
        <w:t>评价以访谈、材料核查、座谈、问卷调查、选点抽查为基础，坚持定量优先、简便有效的原则，综合运用比较法、因素分析法等方法，对标准地建设文勘经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719A263A">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66C5A278">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356C7819">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30067CA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05AA73BF">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39C7EFA3">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213C1F0F">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747F797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1F374EB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4FBC3FB9">
      <w:pPr>
        <w:spacing w:line="600" w:lineRule="exact"/>
        <w:ind w:firstLine="643" w:firstLineChars="200"/>
        <w:outlineLvl w:val="1"/>
        <w:rPr>
          <w:rFonts w:ascii="楷体" w:hAnsi="楷体" w:eastAsia="楷体" w:cs="楷体"/>
          <w:b/>
          <w:bCs/>
          <w:kern w:val="0"/>
          <w:sz w:val="32"/>
          <w:szCs w:val="32"/>
        </w:rPr>
      </w:pPr>
      <w:bookmarkStart w:id="53" w:name="_Toc23298"/>
      <w:bookmarkStart w:id="54" w:name="_Toc17254"/>
      <w:bookmarkStart w:id="55" w:name="_Toc26317"/>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64C566D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0E1FC6A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w:t>
      </w:r>
      <w:r>
        <w:rPr>
          <w:rFonts w:hint="eastAsia" w:ascii="仿宋" w:hAnsi="仿宋" w:eastAsia="仿宋" w:cs="仿宋"/>
          <w:kern w:val="0"/>
          <w:sz w:val="32"/>
          <w:szCs w:val="32"/>
          <w:lang w:val="en-US" w:eastAsia="zh-CN"/>
        </w:rPr>
        <w:t>财政局</w:t>
      </w:r>
      <w:r>
        <w:rPr>
          <w:rFonts w:hint="eastAsia" w:ascii="仿宋" w:hAnsi="仿宋" w:eastAsia="仿宋" w:cs="仿宋"/>
          <w:kern w:val="0"/>
          <w:sz w:val="32"/>
          <w:szCs w:val="32"/>
        </w:rPr>
        <w:t>相关业务股室成</w:t>
      </w:r>
      <w:r>
        <w:rPr>
          <w:rFonts w:hint="eastAsia" w:ascii="仿宋" w:hAnsi="仿宋" w:eastAsia="仿宋" w:cs="仿宋"/>
          <w:kern w:val="0"/>
          <w:sz w:val="32"/>
          <w:szCs w:val="32"/>
          <w:lang w:val="en-US" w:eastAsia="zh-CN"/>
        </w:rPr>
        <w:t>立</w:t>
      </w:r>
      <w:r>
        <w:rPr>
          <w:rFonts w:hint="eastAsia" w:ascii="仿宋" w:hAnsi="仿宋" w:eastAsia="仿宋" w:cs="仿宋"/>
          <w:kern w:val="0"/>
          <w:sz w:val="32"/>
          <w:szCs w:val="32"/>
        </w:rPr>
        <w:t>评价工作小组</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财政局</w:t>
      </w:r>
      <w:r>
        <w:rPr>
          <w:rFonts w:hint="eastAsia" w:ascii="仿宋" w:hAnsi="仿宋" w:eastAsia="仿宋" w:cs="仿宋"/>
          <w:kern w:val="0"/>
          <w:sz w:val="32"/>
          <w:szCs w:val="32"/>
        </w:rPr>
        <w:t>统一组织，召开绩效评价工作集中进点布置会即业务培训会，明确工作任务、绩效评价流程、时间安排，评价小组依据评价工作安排及时下发重点绩效评价通知。</w:t>
      </w:r>
    </w:p>
    <w:p w14:paraId="0E50AD5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72EF9EB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293C717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1EDFB66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1AA205B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2518FB1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0A298A0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7A38FA7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3F6BFB0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580702D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3AF94CC7">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775E172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0E00D5C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24B67D21">
      <w:pPr>
        <w:spacing w:line="60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r>
        <w:rPr>
          <w:rFonts w:hint="eastAsia" w:ascii="仿宋" w:hAnsi="仿宋" w:eastAsia="仿宋" w:cs="仿宋"/>
          <w:kern w:val="0"/>
          <w:sz w:val="32"/>
          <w:szCs w:val="32"/>
          <w:lang w:eastAsia="zh-CN"/>
        </w:rPr>
        <w:t>。</w:t>
      </w:r>
    </w:p>
    <w:p w14:paraId="24CD3B10">
      <w:pPr>
        <w:spacing w:before="104" w:line="600" w:lineRule="exact"/>
        <w:ind w:firstLine="672"/>
        <w:outlineLvl w:val="0"/>
        <w:rPr>
          <w:rFonts w:ascii="黑体" w:hAnsi="黑体" w:eastAsia="黑体" w:cs="黑体"/>
          <w:spacing w:val="-2"/>
          <w:sz w:val="32"/>
          <w:szCs w:val="32"/>
        </w:rPr>
      </w:pPr>
      <w:bookmarkStart w:id="58" w:name="_Toc13632"/>
      <w:r>
        <w:rPr>
          <w:rFonts w:hint="eastAsia" w:ascii="黑体" w:hAnsi="黑体" w:eastAsia="黑体" w:cs="黑体"/>
          <w:spacing w:val="-2"/>
          <w:sz w:val="32"/>
          <w:szCs w:val="32"/>
        </w:rPr>
        <w:t>三、综合评价情况及评价结论</w:t>
      </w:r>
      <w:bookmarkEnd w:id="56"/>
      <w:bookmarkEnd w:id="58"/>
    </w:p>
    <w:p w14:paraId="5F824A7E">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按照确定的评分细则，通过对各项指标逐一评价打分，标准地建设文勘经费绩效评价得分为</w:t>
      </w:r>
      <w:r>
        <w:rPr>
          <w:rFonts w:hint="eastAsia" w:ascii="仿宋" w:hAnsi="仿宋" w:eastAsia="仿宋" w:cs="仿宋"/>
          <w:kern w:val="0"/>
          <w:sz w:val="32"/>
          <w:szCs w:val="32"/>
          <w:lang w:val="en-US" w:eastAsia="zh-CN"/>
        </w:rPr>
        <w:t>89.56</w:t>
      </w:r>
      <w:r>
        <w:rPr>
          <w:rFonts w:hint="eastAsia" w:ascii="仿宋" w:hAnsi="仿宋" w:eastAsia="仿宋" w:cs="仿宋"/>
          <w:kern w:val="0"/>
          <w:sz w:val="32"/>
          <w:szCs w:val="32"/>
        </w:rPr>
        <w:t>分，评价结果等级为“良”，评分情况详见下表。</w:t>
      </w:r>
    </w:p>
    <w:p w14:paraId="67BD9B73">
      <w:pPr>
        <w:pStyle w:val="20"/>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4D86ABE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604AF030">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744540E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7F1D9058">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3693F840">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7E55B698">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37B7375E">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044F43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596938CF">
            <w:pPr>
              <w:jc w:val="center"/>
            </w:pPr>
            <w:r>
              <w:rPr>
                <w:rFonts w:ascii="仿宋" w:hAnsi="仿宋" w:eastAsia="仿宋" w:cs="仿宋"/>
                <w:b w:val="0"/>
                <w:sz w:val="32"/>
              </w:rPr>
              <w:t>决策指标</w:t>
            </w:r>
          </w:p>
        </w:tc>
        <w:tc>
          <w:p w14:paraId="3AE101A3">
            <w:pPr>
              <w:jc w:val="center"/>
            </w:pPr>
            <w:r>
              <w:rPr>
                <w:rFonts w:ascii="仿宋" w:hAnsi="仿宋" w:eastAsia="仿宋" w:cs="仿宋"/>
                <w:b w:val="0"/>
                <w:sz w:val="32"/>
              </w:rPr>
              <w:t>18.0</w:t>
            </w:r>
          </w:p>
        </w:tc>
        <w:tc>
          <w:p w14:paraId="6EB2A02A">
            <w:pPr>
              <w:jc w:val="center"/>
              <w:rPr>
                <w:rFonts w:hint="default" w:eastAsia="宋体"/>
                <w:lang w:val="en-US" w:eastAsia="zh-CN"/>
              </w:rPr>
            </w:pPr>
            <w:r>
              <w:rPr>
                <w:rFonts w:hint="eastAsia" w:ascii="仿宋" w:hAnsi="仿宋" w:eastAsia="仿宋" w:cs="仿宋"/>
                <w:b w:val="0"/>
                <w:sz w:val="32"/>
                <w:lang w:val="en-US" w:eastAsia="zh-CN"/>
              </w:rPr>
              <w:t>16.0</w:t>
            </w:r>
          </w:p>
        </w:tc>
        <w:tc>
          <w:p w14:paraId="76ACBD2F">
            <w:pPr>
              <w:jc w:val="center"/>
            </w:pPr>
            <w:r>
              <w:rPr>
                <w:rFonts w:hint="eastAsia" w:ascii="仿宋" w:hAnsi="仿宋" w:eastAsia="仿宋" w:cs="仿宋"/>
                <w:b w:val="0"/>
                <w:sz w:val="32"/>
                <w:lang w:val="en-US" w:eastAsia="zh-CN"/>
              </w:rPr>
              <w:t>88.88</w:t>
            </w:r>
            <w:r>
              <w:rPr>
                <w:rFonts w:ascii="仿宋" w:hAnsi="仿宋" w:eastAsia="仿宋" w:cs="仿宋"/>
                <w:b w:val="0"/>
                <w:sz w:val="32"/>
              </w:rPr>
              <w:t>%</w:t>
            </w:r>
          </w:p>
        </w:tc>
      </w:tr>
      <w:tr w14:paraId="6AF8D9D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0237626">
            <w:pPr>
              <w:jc w:val="center"/>
            </w:pPr>
            <w:r>
              <w:rPr>
                <w:rFonts w:ascii="仿宋" w:hAnsi="仿宋" w:eastAsia="仿宋" w:cs="仿宋"/>
                <w:b w:val="0"/>
                <w:sz w:val="32"/>
              </w:rPr>
              <w:t>过程指标</w:t>
            </w:r>
          </w:p>
        </w:tc>
        <w:tc>
          <w:p w14:paraId="34068A86">
            <w:pPr>
              <w:jc w:val="center"/>
            </w:pPr>
            <w:r>
              <w:rPr>
                <w:rFonts w:ascii="仿宋" w:hAnsi="仿宋" w:eastAsia="仿宋" w:cs="仿宋"/>
                <w:b w:val="0"/>
                <w:sz w:val="32"/>
              </w:rPr>
              <w:t>22.0</w:t>
            </w:r>
          </w:p>
        </w:tc>
        <w:tc>
          <w:p w14:paraId="6E0CBC5B">
            <w:pPr>
              <w:jc w:val="center"/>
            </w:pPr>
            <w:r>
              <w:rPr>
                <w:rFonts w:ascii="仿宋" w:hAnsi="仿宋" w:eastAsia="仿宋" w:cs="仿宋"/>
                <w:b w:val="0"/>
                <w:sz w:val="32"/>
              </w:rPr>
              <w:t>1</w:t>
            </w:r>
            <w:r>
              <w:rPr>
                <w:rFonts w:hint="eastAsia" w:ascii="仿宋" w:hAnsi="仿宋" w:eastAsia="仿宋" w:cs="仿宋"/>
                <w:b w:val="0"/>
                <w:sz w:val="32"/>
                <w:lang w:val="en-US" w:eastAsia="zh-CN"/>
              </w:rPr>
              <w:t>5</w:t>
            </w:r>
            <w:r>
              <w:rPr>
                <w:rFonts w:ascii="仿宋" w:hAnsi="仿宋" w:eastAsia="仿宋" w:cs="仿宋"/>
                <w:b w:val="0"/>
                <w:sz w:val="32"/>
              </w:rPr>
              <w:t>.0</w:t>
            </w:r>
          </w:p>
        </w:tc>
        <w:tc>
          <w:p w14:paraId="1B6FCE2B">
            <w:pPr>
              <w:jc w:val="center"/>
            </w:pPr>
            <w:r>
              <w:rPr>
                <w:rFonts w:hint="eastAsia" w:ascii="仿宋" w:hAnsi="仿宋" w:eastAsia="仿宋" w:cs="仿宋"/>
                <w:b w:val="0"/>
                <w:sz w:val="32"/>
                <w:lang w:val="en-US" w:eastAsia="zh-CN"/>
              </w:rPr>
              <w:t>68</w:t>
            </w:r>
            <w:r>
              <w:rPr>
                <w:rFonts w:ascii="仿宋" w:hAnsi="仿宋" w:eastAsia="仿宋" w:cs="仿宋"/>
                <w:b w:val="0"/>
                <w:sz w:val="32"/>
              </w:rPr>
              <w:t>.</w:t>
            </w:r>
            <w:r>
              <w:rPr>
                <w:rFonts w:hint="eastAsia" w:ascii="仿宋" w:hAnsi="仿宋" w:eastAsia="仿宋" w:cs="仿宋"/>
                <w:b w:val="0"/>
                <w:sz w:val="32"/>
                <w:lang w:val="en-US" w:eastAsia="zh-CN"/>
              </w:rPr>
              <w:t>18</w:t>
            </w:r>
            <w:r>
              <w:rPr>
                <w:rFonts w:ascii="仿宋" w:hAnsi="仿宋" w:eastAsia="仿宋" w:cs="仿宋"/>
                <w:b w:val="0"/>
                <w:sz w:val="32"/>
              </w:rPr>
              <w:t>%</w:t>
            </w:r>
          </w:p>
        </w:tc>
      </w:tr>
      <w:tr w14:paraId="2615446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790712F">
            <w:pPr>
              <w:jc w:val="center"/>
            </w:pPr>
            <w:r>
              <w:rPr>
                <w:rFonts w:ascii="仿宋" w:hAnsi="仿宋" w:eastAsia="仿宋" w:cs="仿宋"/>
                <w:b w:val="0"/>
                <w:sz w:val="32"/>
              </w:rPr>
              <w:t>产出指标</w:t>
            </w:r>
          </w:p>
        </w:tc>
        <w:tc>
          <w:p w14:paraId="0CAFDBD8">
            <w:pPr>
              <w:jc w:val="center"/>
            </w:pPr>
            <w:r>
              <w:rPr>
                <w:rFonts w:ascii="仿宋" w:hAnsi="仿宋" w:eastAsia="仿宋" w:cs="仿宋"/>
                <w:b w:val="0"/>
                <w:sz w:val="32"/>
              </w:rPr>
              <w:t>36.0</w:t>
            </w:r>
          </w:p>
        </w:tc>
        <w:tc>
          <w:p w14:paraId="1B5810F1">
            <w:pPr>
              <w:jc w:val="center"/>
            </w:pPr>
            <w:r>
              <w:rPr>
                <w:rFonts w:ascii="仿宋" w:hAnsi="仿宋" w:eastAsia="仿宋" w:cs="仿宋"/>
                <w:b w:val="0"/>
                <w:sz w:val="32"/>
              </w:rPr>
              <w:t>34.56</w:t>
            </w:r>
          </w:p>
        </w:tc>
        <w:tc>
          <w:p w14:paraId="2142E98F">
            <w:pPr>
              <w:jc w:val="center"/>
            </w:pPr>
            <w:r>
              <w:rPr>
                <w:rFonts w:ascii="仿宋" w:hAnsi="仿宋" w:eastAsia="仿宋" w:cs="仿宋"/>
                <w:b w:val="0"/>
                <w:sz w:val="32"/>
              </w:rPr>
              <w:t>96.00%</w:t>
            </w:r>
          </w:p>
        </w:tc>
      </w:tr>
      <w:tr w14:paraId="0D9CCF2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7985345D">
            <w:pPr>
              <w:jc w:val="center"/>
            </w:pPr>
            <w:r>
              <w:rPr>
                <w:rFonts w:ascii="仿宋" w:hAnsi="仿宋" w:eastAsia="仿宋" w:cs="仿宋"/>
                <w:b w:val="0"/>
                <w:sz w:val="32"/>
              </w:rPr>
              <w:t>效益指标</w:t>
            </w:r>
          </w:p>
        </w:tc>
        <w:tc>
          <w:p w14:paraId="485883B0">
            <w:pPr>
              <w:jc w:val="center"/>
            </w:pPr>
            <w:r>
              <w:rPr>
                <w:rFonts w:ascii="仿宋" w:hAnsi="仿宋" w:eastAsia="仿宋" w:cs="仿宋"/>
                <w:b w:val="0"/>
                <w:sz w:val="32"/>
              </w:rPr>
              <w:t>24.0</w:t>
            </w:r>
          </w:p>
        </w:tc>
        <w:tc>
          <w:p w14:paraId="7E3D21F4">
            <w:pPr>
              <w:jc w:val="center"/>
            </w:pPr>
            <w:r>
              <w:rPr>
                <w:rFonts w:ascii="仿宋" w:hAnsi="仿宋" w:eastAsia="仿宋" w:cs="仿宋"/>
                <w:b w:val="0"/>
                <w:sz w:val="32"/>
              </w:rPr>
              <w:t>24.0</w:t>
            </w:r>
          </w:p>
        </w:tc>
        <w:tc>
          <w:p w14:paraId="67F3E7BF">
            <w:pPr>
              <w:jc w:val="center"/>
            </w:pPr>
            <w:r>
              <w:rPr>
                <w:rFonts w:ascii="仿宋" w:hAnsi="仿宋" w:eastAsia="仿宋" w:cs="仿宋"/>
                <w:b w:val="0"/>
                <w:sz w:val="32"/>
              </w:rPr>
              <w:t>100.00%</w:t>
            </w:r>
          </w:p>
        </w:tc>
      </w:tr>
    </w:tbl>
    <w:p w14:paraId="0E8E347D">
      <w:pPr>
        <w:spacing w:before="104" w:line="600" w:lineRule="exact"/>
        <w:ind w:firstLine="672"/>
        <w:outlineLvl w:val="0"/>
        <w:rPr>
          <w:rFonts w:ascii="黑体" w:hAnsi="黑体" w:eastAsia="黑体" w:cs="黑体"/>
          <w:spacing w:val="-2"/>
          <w:sz w:val="32"/>
          <w:szCs w:val="32"/>
        </w:rPr>
      </w:pPr>
      <w:bookmarkStart w:id="60" w:name="_Toc305"/>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17947"/>
      <w:bookmarkStart w:id="62" w:name="_Toc4780_WPSOffice_Level2"/>
      <w:bookmarkStart w:id="63" w:name="_Toc379"/>
      <w:bookmarkStart w:id="64" w:name="_Toc18549_WPSOffice_Level2"/>
      <w:bookmarkStart w:id="65" w:name="_Hlk2366513"/>
      <w:bookmarkStart w:id="66" w:name="_Toc26570_WPSOffice_Level2"/>
      <w:bookmarkStart w:id="67" w:name="_Toc28988"/>
      <w:bookmarkStart w:id="68" w:name="_Toc24823_WPSOffice_Level2"/>
    </w:p>
    <w:p w14:paraId="472B8EB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26155"/>
      <w:r>
        <w:rPr>
          <w:rFonts w:hint="eastAsia" w:ascii="楷体_GB2312" w:hAnsi="楷体_GB2312" w:eastAsia="楷体_GB2312" w:cs="楷体_GB2312"/>
          <w:b/>
          <w:bCs/>
          <w:kern w:val="0"/>
          <w:sz w:val="32"/>
          <w:szCs w:val="32"/>
        </w:rPr>
        <w:t>（一）决策指标（满分18.0分，实得</w:t>
      </w:r>
      <w:r>
        <w:rPr>
          <w:rFonts w:hint="eastAsia" w:ascii="楷体_GB2312" w:hAnsi="楷体_GB2312" w:eastAsia="楷体_GB2312" w:cs="楷体_GB2312"/>
          <w:b/>
          <w:bCs/>
          <w:kern w:val="0"/>
          <w:sz w:val="32"/>
          <w:szCs w:val="32"/>
          <w:lang w:val="en-US" w:eastAsia="zh-CN"/>
        </w:rPr>
        <w:t>16.0</w:t>
      </w:r>
      <w:r>
        <w:rPr>
          <w:rFonts w:hint="eastAsia" w:ascii="楷体_GB2312" w:hAnsi="楷体_GB2312" w:eastAsia="楷体_GB2312" w:cs="楷体_GB2312"/>
          <w:b/>
          <w:bCs/>
          <w:kern w:val="0"/>
          <w:sz w:val="32"/>
          <w:szCs w:val="32"/>
        </w:rPr>
        <w:t>分）</w:t>
      </w:r>
      <w:bookmarkEnd w:id="69"/>
    </w:p>
    <w:p w14:paraId="4A742C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719DD6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26D21E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根据</w:t>
      </w:r>
      <w:r>
        <w:rPr>
          <w:rFonts w:ascii="仿宋" w:hAnsi="仿宋" w:eastAsia="仿宋" w:cs="仿宋"/>
          <w:kern w:val="0"/>
          <w:sz w:val="32"/>
          <w:szCs w:val="32"/>
        </w:rPr>
        <w:t>《“十四五”工程勘察设计行业发展规划》（建质〔2022〕38号），扶风县文物局于2023年9月18日以《关于申请扶风县标准地建设文物勘探的报告》，申请承担扶风县城新区东大门外，西临绛法公路、南临东大街、东至扶杨生态园、北至扶杨生产路的779.72亩项目用地文物勘探工作。项目由扶风县文化和旅游局组织实施。经分析，项目立项符合</w:t>
      </w:r>
      <w:r>
        <w:rPr>
          <w:rFonts w:hint="eastAsia" w:ascii="仿宋" w:hAnsi="仿宋" w:eastAsia="仿宋" w:cs="仿宋"/>
          <w:kern w:val="0"/>
          <w:sz w:val="32"/>
          <w:szCs w:val="32"/>
          <w:lang w:val="en-US" w:eastAsia="zh-CN"/>
        </w:rPr>
        <w:t>国民经济发展规划和相关政策</w:t>
      </w:r>
      <w:r>
        <w:rPr>
          <w:rFonts w:ascii="仿宋" w:hAnsi="仿宋" w:eastAsia="仿宋" w:cs="仿宋"/>
          <w:kern w:val="0"/>
          <w:sz w:val="32"/>
          <w:szCs w:val="32"/>
        </w:rPr>
        <w:t>，与部门职责范围相符或属于部门履职所需，符合行业发展规划和政策要求</w:t>
      </w:r>
      <w:r>
        <w:rPr>
          <w:rFonts w:hint="eastAsia" w:ascii="仿宋" w:hAnsi="仿宋" w:eastAsia="仿宋" w:cs="仿宋"/>
          <w:kern w:val="0"/>
          <w:sz w:val="32"/>
          <w:szCs w:val="32"/>
          <w:lang w:eastAsia="zh-CN"/>
        </w:rPr>
        <w:t>，</w:t>
      </w:r>
      <w:r>
        <w:rPr>
          <w:rFonts w:ascii="仿宋" w:hAnsi="仿宋" w:eastAsia="仿宋" w:cs="仿宋"/>
          <w:kern w:val="0"/>
          <w:sz w:val="32"/>
          <w:szCs w:val="32"/>
        </w:rPr>
        <w:t>属于公共财政支持范围，与相关部门同类项目或部门内部相关项目不重复。</w:t>
      </w:r>
    </w:p>
    <w:p w14:paraId="6CA264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7BB2F9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26E4A7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扶风县文化和旅游局进行内部集体研究决策和论证，向扶风县人民政府提出申请文件，经扶风县财政</w:t>
      </w:r>
      <w:r>
        <w:rPr>
          <w:rFonts w:hint="eastAsia" w:ascii="仿宋" w:hAnsi="仿宋" w:eastAsia="仿宋" w:cs="仿宋"/>
          <w:kern w:val="0"/>
          <w:sz w:val="32"/>
          <w:szCs w:val="32"/>
          <w:lang w:val="en-US" w:eastAsia="zh-CN"/>
        </w:rPr>
        <w:t>局</w:t>
      </w:r>
      <w:r>
        <w:rPr>
          <w:rFonts w:ascii="仿宋" w:hAnsi="仿宋" w:eastAsia="仿宋" w:cs="仿宋"/>
          <w:kern w:val="0"/>
          <w:sz w:val="32"/>
          <w:szCs w:val="32"/>
        </w:rPr>
        <w:t>审核，报扶风县政府审定通过。经分析，项目已经按照规定的程序申请设立，审批文件、材料符合相关要求，事前</w:t>
      </w:r>
      <w:bookmarkStart w:id="83" w:name="_GoBack"/>
      <w:bookmarkEnd w:id="83"/>
      <w:r>
        <w:rPr>
          <w:rFonts w:ascii="仿宋" w:hAnsi="仿宋" w:eastAsia="仿宋" w:cs="仿宋"/>
          <w:kern w:val="0"/>
          <w:sz w:val="32"/>
          <w:szCs w:val="32"/>
        </w:rPr>
        <w:t>经过必要的集体决策。</w:t>
      </w:r>
    </w:p>
    <w:p w14:paraId="5058F5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1E8529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kern w:val="0"/>
          <w:sz w:val="32"/>
          <w:szCs w:val="32"/>
          <w:highlight w:val="none"/>
        </w:rPr>
      </w:pPr>
      <w:r>
        <w:rPr>
          <w:rFonts w:ascii="仿宋" w:hAnsi="仿宋" w:eastAsia="仿宋" w:cs="仿宋"/>
          <w:kern w:val="0"/>
          <w:sz w:val="32"/>
          <w:szCs w:val="32"/>
          <w:highlight w:val="none"/>
        </w:rPr>
        <w:t>2、绩效目标（满分7.0分，实得</w:t>
      </w:r>
      <w:r>
        <w:rPr>
          <w:rFonts w:hint="eastAsia" w:ascii="仿宋" w:hAnsi="仿宋" w:eastAsia="仿宋" w:cs="仿宋"/>
          <w:kern w:val="0"/>
          <w:sz w:val="32"/>
          <w:szCs w:val="32"/>
          <w:highlight w:val="none"/>
          <w:lang w:val="en-US" w:eastAsia="zh-CN"/>
        </w:rPr>
        <w:t>5.0</w:t>
      </w:r>
      <w:r>
        <w:rPr>
          <w:rFonts w:ascii="仿宋" w:hAnsi="仿宋" w:eastAsia="仿宋" w:cs="仿宋"/>
          <w:kern w:val="0"/>
          <w:sz w:val="32"/>
          <w:szCs w:val="32"/>
          <w:highlight w:val="none"/>
        </w:rPr>
        <w:t>分）</w:t>
      </w:r>
    </w:p>
    <w:p w14:paraId="77AFDD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kern w:val="0"/>
          <w:sz w:val="32"/>
          <w:szCs w:val="32"/>
          <w:highlight w:val="none"/>
        </w:rPr>
      </w:pPr>
      <w:r>
        <w:rPr>
          <w:rFonts w:ascii="仿宋" w:hAnsi="仿宋" w:eastAsia="仿宋" w:cs="仿宋"/>
          <w:kern w:val="0"/>
          <w:sz w:val="32"/>
          <w:szCs w:val="32"/>
          <w:highlight w:val="none"/>
        </w:rPr>
        <w:t>（1）绩效目标合理性（满分4.0分，实得</w:t>
      </w:r>
      <w:r>
        <w:rPr>
          <w:rFonts w:hint="eastAsia" w:ascii="仿宋" w:hAnsi="仿宋" w:eastAsia="仿宋" w:cs="仿宋"/>
          <w:kern w:val="0"/>
          <w:sz w:val="32"/>
          <w:szCs w:val="32"/>
          <w:highlight w:val="none"/>
          <w:lang w:val="en-US" w:eastAsia="zh-CN"/>
        </w:rPr>
        <w:t>4.0</w:t>
      </w:r>
      <w:r>
        <w:rPr>
          <w:rFonts w:ascii="仿宋" w:hAnsi="仿宋" w:eastAsia="仿宋" w:cs="仿宋"/>
          <w:kern w:val="0"/>
          <w:sz w:val="32"/>
          <w:szCs w:val="32"/>
          <w:highlight w:val="none"/>
        </w:rPr>
        <w:t>分）</w:t>
      </w:r>
    </w:p>
    <w:p w14:paraId="3B55B6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项目单位设置年度目标：为加快推进我县“标准地”改革工作，进一步加强我县基本建设工程中考古调查评估、勘探和发掘工作，确保地下埋藏文物安全。</w:t>
      </w:r>
      <w:r>
        <w:rPr>
          <w:rFonts w:ascii="仿宋" w:hAnsi="仿宋" w:eastAsia="仿宋" w:cs="仿宋"/>
          <w:kern w:val="0"/>
          <w:sz w:val="32"/>
          <w:szCs w:val="32"/>
          <w:highlight w:val="none"/>
        </w:rPr>
        <w:t>经分析，项目已设置绩效目标，绩效目标与实际工作内容相关，预期产出效益和效果符合正常的业绩水平，与预算确定的项目投资额或资金量相匹配。</w:t>
      </w:r>
    </w:p>
    <w:p w14:paraId="24F620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w:t>
      </w:r>
      <w:r>
        <w:rPr>
          <w:rFonts w:hint="eastAsia" w:ascii="仿宋" w:hAnsi="仿宋" w:eastAsia="仿宋" w:cs="仿宋"/>
          <w:kern w:val="0"/>
          <w:sz w:val="32"/>
          <w:szCs w:val="32"/>
          <w:highlight w:val="none"/>
          <w:lang w:val="en-US" w:eastAsia="zh-CN"/>
        </w:rPr>
        <w:t>0.0</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4.0</w:t>
      </w:r>
      <w:r>
        <w:rPr>
          <w:rFonts w:ascii="仿宋" w:hAnsi="仿宋" w:eastAsia="仿宋" w:cs="仿宋"/>
          <w:kern w:val="0"/>
          <w:sz w:val="32"/>
          <w:szCs w:val="32"/>
          <w:highlight w:val="none"/>
        </w:rPr>
        <w:t>分。</w:t>
      </w:r>
    </w:p>
    <w:p w14:paraId="3D7CC8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kern w:val="0"/>
          <w:sz w:val="32"/>
          <w:szCs w:val="32"/>
          <w:highlight w:val="none"/>
        </w:rPr>
      </w:pPr>
      <w:r>
        <w:rPr>
          <w:rFonts w:ascii="仿宋" w:hAnsi="仿宋" w:eastAsia="仿宋" w:cs="仿宋"/>
          <w:kern w:val="0"/>
          <w:sz w:val="32"/>
          <w:szCs w:val="32"/>
          <w:highlight w:val="none"/>
        </w:rPr>
        <w:t>（2）绩效指标明确性（满分3.0分，实得</w:t>
      </w:r>
      <w:r>
        <w:rPr>
          <w:rFonts w:hint="eastAsia" w:ascii="仿宋" w:hAnsi="仿宋" w:eastAsia="仿宋" w:cs="仿宋"/>
          <w:kern w:val="0"/>
          <w:sz w:val="32"/>
          <w:szCs w:val="32"/>
          <w:highlight w:val="none"/>
          <w:lang w:val="en-US" w:eastAsia="zh-CN"/>
        </w:rPr>
        <w:t>1.0</w:t>
      </w:r>
      <w:r>
        <w:rPr>
          <w:rFonts w:ascii="仿宋" w:hAnsi="仿宋" w:eastAsia="仿宋" w:cs="仿宋"/>
          <w:kern w:val="0"/>
          <w:sz w:val="32"/>
          <w:szCs w:val="32"/>
          <w:highlight w:val="none"/>
        </w:rPr>
        <w:t>分）</w:t>
      </w:r>
    </w:p>
    <w:p w14:paraId="4850C5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default" w:ascii="仿宋" w:hAnsi="仿宋" w:eastAsia="仿宋" w:cs="仿宋"/>
          <w:kern w:val="0"/>
          <w:sz w:val="32"/>
          <w:szCs w:val="32"/>
          <w:highlight w:val="none"/>
          <w:lang w:val="en-US" w:eastAsia="zh-CN"/>
        </w:rPr>
      </w:pPr>
      <w:r>
        <w:rPr>
          <w:rFonts w:ascii="仿宋" w:hAnsi="仿宋" w:eastAsia="仿宋" w:cs="仿宋"/>
          <w:kern w:val="0"/>
          <w:sz w:val="32"/>
          <w:szCs w:val="32"/>
          <w:highlight w:val="none"/>
        </w:rPr>
        <w:t>项目设置</w:t>
      </w:r>
      <w:r>
        <w:rPr>
          <w:rFonts w:hint="eastAsia" w:ascii="仿宋" w:hAnsi="仿宋" w:eastAsia="仿宋" w:cs="仿宋"/>
          <w:kern w:val="0"/>
          <w:sz w:val="32"/>
          <w:szCs w:val="32"/>
          <w:highlight w:val="none"/>
          <w:lang w:val="en-US" w:eastAsia="zh-CN"/>
        </w:rPr>
        <w:t>绩效产出指标：土地评估面积779.72亩，专款专用，保质保量完成。</w:t>
      </w:r>
    </w:p>
    <w:p w14:paraId="457E7D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w:t>
      </w:r>
      <w:r>
        <w:rPr>
          <w:rFonts w:hint="eastAsia" w:ascii="仿宋" w:hAnsi="仿宋" w:eastAsia="仿宋" w:cs="仿宋"/>
          <w:kern w:val="0"/>
          <w:sz w:val="32"/>
          <w:szCs w:val="32"/>
          <w:highlight w:val="none"/>
          <w:lang w:val="en-US" w:eastAsia="zh-CN"/>
        </w:rPr>
        <w:t>2.0</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1.0</w:t>
      </w:r>
      <w:r>
        <w:rPr>
          <w:rFonts w:ascii="仿宋" w:hAnsi="仿宋" w:eastAsia="仿宋" w:cs="仿宋"/>
          <w:kern w:val="0"/>
          <w:sz w:val="32"/>
          <w:szCs w:val="32"/>
          <w:highlight w:val="none"/>
        </w:rPr>
        <w:t>分。</w:t>
      </w:r>
    </w:p>
    <w:p w14:paraId="0E341D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47DE58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54167A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文保</w:t>
      </w:r>
      <w:r>
        <w:rPr>
          <w:rFonts w:ascii="仿宋" w:hAnsi="仿宋" w:eastAsia="仿宋" w:cs="仿宋"/>
          <w:kern w:val="0"/>
          <w:sz w:val="32"/>
          <w:szCs w:val="32"/>
        </w:rPr>
        <w:t>部门根据业务计划，编制项目预算，报财政部门审核。经分析，预算编制经过科学论证，预算内容与项目内容相匹配。预算额度测算依据充分，预算确定的项目投资额与工作任务相匹配。</w:t>
      </w:r>
    </w:p>
    <w:p w14:paraId="6F9CFA8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31C56F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7F932E6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项目预算资金列入部门预算，经</w:t>
      </w:r>
      <w:r>
        <w:rPr>
          <w:rFonts w:hint="eastAsia" w:ascii="仿宋" w:hAnsi="仿宋" w:eastAsia="仿宋" w:cs="仿宋"/>
          <w:kern w:val="0"/>
          <w:sz w:val="32"/>
          <w:szCs w:val="32"/>
          <w:lang w:val="en-US" w:eastAsia="zh-CN"/>
        </w:rPr>
        <w:t>扶风县</w:t>
      </w:r>
      <w:r>
        <w:rPr>
          <w:rFonts w:ascii="仿宋" w:hAnsi="仿宋" w:eastAsia="仿宋" w:cs="仿宋"/>
          <w:kern w:val="0"/>
          <w:sz w:val="32"/>
          <w:szCs w:val="32"/>
        </w:rPr>
        <w:t>人代会批准后，由财政下达给扶风县文化和旅游局。资金拨付以批准的部门预算额度为准，如确需追加预算的，由扶风县文化和旅游局按专项资金设立程序提出申请报扶风县财政局，并按照权限由扶风县财政局审定。经分析，预算资金分配依据充分；资金分配额度合理、与项目实际相适应。</w:t>
      </w:r>
    </w:p>
    <w:p w14:paraId="6D9BFC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429867A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20682"/>
      <w:r>
        <w:rPr>
          <w:rFonts w:hint="eastAsia" w:ascii="楷体_GB2312" w:hAnsi="楷体_GB2312" w:eastAsia="楷体_GB2312" w:cs="楷体_GB2312"/>
          <w:b/>
          <w:bCs/>
          <w:kern w:val="0"/>
          <w:sz w:val="32"/>
          <w:szCs w:val="32"/>
        </w:rPr>
        <w:t>（二）过程指标（满分22.0分，实得1</w:t>
      </w:r>
      <w:r>
        <w:rPr>
          <w:rFonts w:hint="eastAsia" w:ascii="楷体_GB2312" w:hAnsi="楷体_GB2312" w:eastAsia="楷体_GB2312" w:cs="楷体_GB2312"/>
          <w:b/>
          <w:bCs/>
          <w:kern w:val="0"/>
          <w:sz w:val="32"/>
          <w:szCs w:val="32"/>
          <w:lang w:val="en-US" w:eastAsia="zh-CN"/>
        </w:rPr>
        <w:t>5</w:t>
      </w:r>
      <w:r>
        <w:rPr>
          <w:rFonts w:hint="eastAsia" w:ascii="楷体_GB2312" w:hAnsi="楷体_GB2312" w:eastAsia="楷体_GB2312" w:cs="楷体_GB2312"/>
          <w:b/>
          <w:bCs/>
          <w:kern w:val="0"/>
          <w:sz w:val="32"/>
          <w:szCs w:val="32"/>
        </w:rPr>
        <w:t>.0分）</w:t>
      </w:r>
      <w:bookmarkEnd w:id="70"/>
    </w:p>
    <w:p w14:paraId="6FA047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1、资金管理（满分11.0分，实得11.0分）</w:t>
      </w:r>
    </w:p>
    <w:p w14:paraId="5F8CEB6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7BACF5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评价小组查阅了项目有关的预算资金下达文件：扶风县财政局于2023年4月14日以《扶风县财政局关于下达财政预算支出指标的通知》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扶财办预〔2023〕119号</w:t>
      </w:r>
      <w:r>
        <w:rPr>
          <w:rFonts w:hint="eastAsia" w:ascii="仿宋" w:hAnsi="仿宋" w:eastAsia="仿宋" w:cs="仿宋"/>
          <w:kern w:val="0"/>
          <w:sz w:val="32"/>
          <w:szCs w:val="32"/>
          <w:lang w:eastAsia="zh-CN"/>
        </w:rPr>
        <w:t>）</w:t>
      </w:r>
      <w:r>
        <w:rPr>
          <w:rFonts w:ascii="仿宋" w:hAnsi="仿宋" w:eastAsia="仿宋" w:cs="仿宋"/>
          <w:kern w:val="0"/>
          <w:sz w:val="32"/>
          <w:szCs w:val="32"/>
        </w:rPr>
        <w:t>文件下达标准地建设文勘经费预算资金100万元，资金到位率100%。</w:t>
      </w:r>
    </w:p>
    <w:p w14:paraId="180576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4F9C8A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48D420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项目实际到位资金为100万元，实际支出资金为101.6万元，总预算执行率为101.6%。</w:t>
      </w:r>
    </w:p>
    <w:p w14:paraId="3B3923E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15E516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09FD3E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项目资金支付时由宝鸡市考古研究所和陕西道和文物勘探建设工程有限公司提出申请，经扶风县文化和旅游局审核和批准。项目达到合同规定的付款条件，凭合同、发票、验收资料等，按照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批流程批准后，资金直接支付给施工单位。经分析，资金的拨付有完整的审批程序和手续</w:t>
      </w:r>
      <w:r>
        <w:rPr>
          <w:rFonts w:hint="eastAsia" w:ascii="仿宋" w:hAnsi="仿宋" w:eastAsia="仿宋" w:cs="仿宋"/>
          <w:kern w:val="0"/>
          <w:sz w:val="32"/>
          <w:szCs w:val="32"/>
          <w:lang w:eastAsia="zh-CN"/>
        </w:rPr>
        <w:t>，</w:t>
      </w:r>
      <w:r>
        <w:rPr>
          <w:rFonts w:ascii="仿宋" w:hAnsi="仿宋" w:eastAsia="仿宋" w:cs="仿宋"/>
          <w:kern w:val="0"/>
          <w:sz w:val="32"/>
          <w:szCs w:val="32"/>
        </w:rPr>
        <w:t>符合项目预算批复或合同规定的用途</w:t>
      </w:r>
      <w:r>
        <w:rPr>
          <w:rFonts w:hint="eastAsia" w:ascii="仿宋" w:hAnsi="仿宋" w:eastAsia="仿宋" w:cs="仿宋"/>
          <w:kern w:val="0"/>
          <w:sz w:val="32"/>
          <w:szCs w:val="32"/>
          <w:lang w:eastAsia="zh-CN"/>
        </w:rPr>
        <w:t>，</w:t>
      </w:r>
      <w:r>
        <w:rPr>
          <w:rFonts w:ascii="仿宋" w:hAnsi="仿宋" w:eastAsia="仿宋" w:cs="仿宋"/>
          <w:kern w:val="0"/>
          <w:sz w:val="32"/>
          <w:szCs w:val="32"/>
        </w:rPr>
        <w:t>不存在截留、挤占、挪用、虚列支出等情况。</w:t>
      </w:r>
    </w:p>
    <w:p w14:paraId="0C0980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04C8B9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w:t>
      </w:r>
      <w:r>
        <w:rPr>
          <w:rFonts w:hint="eastAsia" w:ascii="仿宋" w:hAnsi="仿宋" w:eastAsia="仿宋" w:cs="仿宋"/>
          <w:kern w:val="0"/>
          <w:sz w:val="32"/>
          <w:szCs w:val="32"/>
          <w:lang w:val="en-US" w:eastAsia="zh-CN"/>
        </w:rPr>
        <w:t>4</w:t>
      </w:r>
      <w:r>
        <w:rPr>
          <w:rFonts w:ascii="仿宋" w:hAnsi="仿宋" w:eastAsia="仿宋" w:cs="仿宋"/>
          <w:kern w:val="0"/>
          <w:sz w:val="32"/>
          <w:szCs w:val="32"/>
        </w:rPr>
        <w:t>.0分）</w:t>
      </w:r>
    </w:p>
    <w:p w14:paraId="0DD5EB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w:t>
      </w:r>
      <w:r>
        <w:rPr>
          <w:rFonts w:hint="eastAsia" w:ascii="仿宋" w:hAnsi="仿宋" w:eastAsia="仿宋" w:cs="仿宋"/>
          <w:kern w:val="0"/>
          <w:sz w:val="32"/>
          <w:szCs w:val="32"/>
          <w:lang w:val="en-US" w:eastAsia="zh-CN"/>
        </w:rPr>
        <w:t>0</w:t>
      </w:r>
      <w:r>
        <w:rPr>
          <w:rFonts w:ascii="仿宋" w:hAnsi="仿宋" w:eastAsia="仿宋" w:cs="仿宋"/>
          <w:kern w:val="0"/>
          <w:sz w:val="32"/>
          <w:szCs w:val="32"/>
        </w:rPr>
        <w:t>.0分）</w:t>
      </w:r>
    </w:p>
    <w:p w14:paraId="5B3C1D4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扶风县文化和旅游局委托陕西天沃工程项目管理有限公司于2023年10月13日，通过公开招标方式确定</w:t>
      </w:r>
      <w:r>
        <w:rPr>
          <w:rFonts w:hint="eastAsia" w:ascii="仿宋" w:hAnsi="仿宋" w:eastAsia="仿宋" w:cs="仿宋"/>
          <w:kern w:val="0"/>
          <w:sz w:val="32"/>
          <w:szCs w:val="32"/>
          <w:lang w:val="en-US" w:eastAsia="zh-CN"/>
        </w:rPr>
        <w:t>服务</w:t>
      </w:r>
      <w:r>
        <w:rPr>
          <w:rFonts w:ascii="仿宋" w:hAnsi="仿宋" w:eastAsia="仿宋" w:cs="仿宋"/>
          <w:kern w:val="0"/>
          <w:sz w:val="32"/>
          <w:szCs w:val="32"/>
        </w:rPr>
        <w:t>单位。经分析，项目中标通知书时于2023年10月23日取得，晚于合同签订时间2023年10月16日，采购程序不合规。</w:t>
      </w:r>
    </w:p>
    <w:p w14:paraId="7EDE50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.0</w:t>
      </w:r>
      <w:r>
        <w:rPr>
          <w:rFonts w:ascii="仿宋" w:hAnsi="仿宋" w:eastAsia="仿宋" w:cs="仿宋"/>
          <w:kern w:val="0"/>
          <w:sz w:val="32"/>
          <w:szCs w:val="32"/>
        </w:rPr>
        <w:t>分，评价得</w:t>
      </w:r>
      <w:r>
        <w:rPr>
          <w:rFonts w:hint="eastAsia" w:ascii="仿宋" w:hAnsi="仿宋" w:eastAsia="仿宋" w:cs="仿宋"/>
          <w:kern w:val="0"/>
          <w:sz w:val="32"/>
          <w:szCs w:val="32"/>
          <w:lang w:val="en-US" w:eastAsia="zh-CN"/>
        </w:rPr>
        <w:t>0</w:t>
      </w:r>
      <w:r>
        <w:rPr>
          <w:rFonts w:ascii="仿宋" w:hAnsi="仿宋" w:eastAsia="仿宋" w:cs="仿宋"/>
          <w:kern w:val="0"/>
          <w:sz w:val="32"/>
          <w:szCs w:val="32"/>
        </w:rPr>
        <w:t>.0分。</w:t>
      </w:r>
    </w:p>
    <w:p w14:paraId="23D3DB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（2）管理制度健全性（满分2.0分，实得1.0分）</w:t>
      </w:r>
    </w:p>
    <w:p w14:paraId="2F72D7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单位</w:t>
      </w:r>
      <w:r>
        <w:rPr>
          <w:rFonts w:ascii="仿宋" w:hAnsi="仿宋" w:eastAsia="仿宋" w:cs="仿宋"/>
          <w:kern w:val="0"/>
          <w:sz w:val="32"/>
          <w:szCs w:val="32"/>
        </w:rPr>
        <w:t>制订的《财务管理制度》规定：局机关及所属事业单位发生的支出必须由经手人签字，主管领导审查，局长审签后方可报销。部门制订的《预算管理制度》规定：各股室编制本部门的各项专项预算。经分析，项目已制定相应的财务和预算管理制度；财务和预算管理制度是否合法、合规、完整。但未制定业务管理制度。</w:t>
      </w:r>
    </w:p>
    <w:p w14:paraId="0A7CC6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根据评分标准，本指标满分2.0分，扣1.0分，评价得1.0分。</w:t>
      </w:r>
    </w:p>
    <w:p w14:paraId="104202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（3）绩效自评规范性（满分4.0分，实得3.0分）</w:t>
      </w:r>
    </w:p>
    <w:p w14:paraId="7998FD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项目实施单位进行了绩效自评，自评报告完整，自评报告数据准确、内容翔实，但未编制自评表。</w:t>
      </w:r>
    </w:p>
    <w:p w14:paraId="59CED3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根据评分标准，本指标满分4.0分，扣1.0分，评价得3.0分。</w:t>
      </w:r>
    </w:p>
    <w:p w14:paraId="523A052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1" w:name="_Toc10363"/>
      <w:r>
        <w:rPr>
          <w:rFonts w:hint="eastAsia" w:ascii="楷体_GB2312" w:hAnsi="楷体_GB2312" w:eastAsia="楷体_GB2312" w:cs="楷体_GB2312"/>
          <w:b/>
          <w:bCs/>
          <w:kern w:val="0"/>
          <w:sz w:val="32"/>
          <w:szCs w:val="32"/>
        </w:rPr>
        <w:t>（三）产出指标（满分36.0分，实得34.56分）</w:t>
      </w:r>
      <w:bookmarkEnd w:id="71"/>
    </w:p>
    <w:p w14:paraId="15D988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08758A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022391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评价小组检查了项目完成情况，项目计划内容已全部实施。</w:t>
      </w:r>
    </w:p>
    <w:p w14:paraId="55964C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70FB5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49CCB15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570BA9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项目质量合格。</w:t>
      </w:r>
    </w:p>
    <w:p w14:paraId="29310B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782763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41855E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完成及时率（满分9.0分，实得9.0分）</w:t>
      </w:r>
    </w:p>
    <w:p w14:paraId="324ACC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项目已及时完工。</w:t>
      </w:r>
    </w:p>
    <w:p w14:paraId="6F2426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38DCBB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4、成本指标（满分9.0分，实得7.56分）</w:t>
      </w:r>
    </w:p>
    <w:p w14:paraId="78B53DC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成本节约率（满分9.0分，实得7.56分）</w:t>
      </w:r>
    </w:p>
    <w:p w14:paraId="3C55293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项目实际到位资金为100万元，实际支出资金为101.6万元，成本节约率-1.6%。</w:t>
      </w:r>
    </w:p>
    <w:p w14:paraId="7354F4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根据评分标准，本指标满分9.0分，扣1.44分，评价得7.56分。</w:t>
      </w:r>
    </w:p>
    <w:p w14:paraId="2CF4109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28205"/>
      <w:r>
        <w:rPr>
          <w:rFonts w:hint="eastAsia" w:ascii="楷体_GB2312" w:hAnsi="楷体_GB2312" w:eastAsia="楷体_GB2312" w:cs="楷体_GB2312"/>
          <w:b/>
          <w:bCs/>
          <w:kern w:val="0"/>
          <w:sz w:val="32"/>
          <w:szCs w:val="32"/>
        </w:rPr>
        <w:t>（四）效益指标（满分24.0分，实得24.0分）</w:t>
      </w:r>
      <w:bookmarkEnd w:id="72"/>
    </w:p>
    <w:p w14:paraId="218A3A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1F879C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（1）挖掘和保护历史文化遗产，为资源开发和环境保护提供科学依据（满分18.0分，实得18.0分）</w:t>
      </w:r>
    </w:p>
    <w:p w14:paraId="6CF06C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项目实施能够有效挖掘和保护历史文化遗产，为资源开发和环境保护提供科学依据。</w:t>
      </w:r>
    </w:p>
    <w:p w14:paraId="2BA234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79D1CA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57922D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（1）社会公众满意度（满分6.0分，实得6.0分）</w:t>
      </w:r>
    </w:p>
    <w:p w14:paraId="739F65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评价组机构通过抽样共计发放43份问卷，社会公众对项目的整体评价为非常满意。满意度调查情况详见《调查问卷分析》。</w:t>
      </w:r>
    </w:p>
    <w:p w14:paraId="726BB3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58CB92D7">
      <w:pPr>
        <w:spacing w:before="104" w:line="600" w:lineRule="exact"/>
        <w:ind w:firstLine="672"/>
        <w:outlineLvl w:val="0"/>
        <w:rPr>
          <w:rFonts w:ascii="黑体" w:hAnsi="黑体" w:eastAsia="黑体" w:cs="黑体"/>
          <w:spacing w:val="-2"/>
          <w:sz w:val="32"/>
          <w:szCs w:val="32"/>
        </w:rPr>
      </w:pPr>
      <w:bookmarkStart w:id="73" w:name="_Toc15478"/>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336B99F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4" w:name="_Toc12606"/>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rPr>
        <w:t>）项目采购程序不合规</w:t>
      </w:r>
      <w:bookmarkEnd w:id="74"/>
    </w:p>
    <w:p w14:paraId="7E3F6294">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项目中标通知书时于2023年10月23日取得，合同签订时间为2023年10月16日，中标通知书取得时间晚于合同签订时间，采购程序不合规。</w:t>
      </w:r>
    </w:p>
    <w:p w14:paraId="40D0661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5" w:name="_Toc26905"/>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项目未编制自评表</w:t>
      </w:r>
      <w:bookmarkEnd w:id="75"/>
    </w:p>
    <w:p w14:paraId="5E23F8E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6" w:name="_Toc24916"/>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rPr>
        <w:t>）项目成本超支</w:t>
      </w:r>
      <w:bookmarkEnd w:id="76"/>
    </w:p>
    <w:p w14:paraId="187A08E4">
      <w:pPr>
        <w:numPr>
          <w:ilvl w:val="0"/>
          <w:numId w:val="0"/>
        </w:num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项目实际到位资金为100万元，实际支出资金为101.6万元，成本超支</w:t>
      </w:r>
      <w:r>
        <w:rPr>
          <w:rFonts w:hint="eastAsia" w:ascii="仿宋" w:hAnsi="仿宋" w:eastAsia="仿宋" w:cs="仿宋"/>
          <w:kern w:val="0"/>
          <w:sz w:val="32"/>
          <w:szCs w:val="32"/>
          <w:lang w:val="en-US" w:eastAsia="zh-CN"/>
        </w:rPr>
        <w:t>1.6万元</w:t>
      </w:r>
      <w:r>
        <w:rPr>
          <w:rFonts w:hint="eastAsia" w:ascii="仿宋" w:hAnsi="仿宋" w:eastAsia="仿宋" w:cs="仿宋"/>
          <w:kern w:val="0"/>
          <w:sz w:val="32"/>
          <w:szCs w:val="32"/>
        </w:rPr>
        <w:t>。</w:t>
      </w:r>
    </w:p>
    <w:p w14:paraId="2B30B89C">
      <w:pPr>
        <w:spacing w:line="600" w:lineRule="exact"/>
        <w:ind w:firstLine="632" w:firstLineChars="200"/>
        <w:outlineLvl w:val="0"/>
        <w:rPr>
          <w:rFonts w:ascii="黑体" w:hAnsi="黑体" w:eastAsia="黑体" w:cs="黑体"/>
          <w:spacing w:val="-2"/>
          <w:sz w:val="32"/>
          <w:szCs w:val="32"/>
        </w:rPr>
      </w:pPr>
      <w:bookmarkStart w:id="77" w:name="_Toc29483"/>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7"/>
    </w:p>
    <w:p w14:paraId="1DDEB77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lang w:val="en-US" w:eastAsia="zh-CN"/>
        </w:rPr>
      </w:pPr>
      <w:bookmarkStart w:id="78" w:name="_Toc65"/>
      <w:r>
        <w:rPr>
          <w:rFonts w:hint="eastAsia" w:ascii="楷体_GB2312" w:hAnsi="楷体_GB2312" w:eastAsia="楷体_GB2312" w:cs="楷体_GB2312"/>
          <w:b/>
          <w:bCs/>
          <w:kern w:val="0"/>
          <w:sz w:val="32"/>
          <w:szCs w:val="32"/>
          <w:lang w:val="en-US" w:eastAsia="zh-CN"/>
        </w:rPr>
        <w:t>（一）根据项目实际情况准确设置绩效目标及指标</w:t>
      </w:r>
      <w:bookmarkEnd w:id="78"/>
    </w:p>
    <w:p w14:paraId="7DCDA360">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财政预算管理过程中，设置绩效目标能确保公共资金的有效利用和项目的顺利实施，通过明确绩效目标，政府部门和项目实施单位可以清晰地了解项目的预期成果和效益，从而有针对性地制定实施计划和资金配置方案。</w:t>
      </w:r>
    </w:p>
    <w:p w14:paraId="6D4F4004">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财政预算管理过程中，为了确保财政预算资金项目的有效执行和评估，设置明确、具体、可衡量的绩效指标至关重要。绩效指标不仅反映了项目的预期成果和效益，还为项目的实施、监控和评估提供了明确的指导和依据。绩效指标也为项目的监督和评估提供了具体的量化依据，有助于及时发现问题、调整策略，确保项目的顺利实施和达成预期目标。</w:t>
      </w:r>
    </w:p>
    <w:p w14:paraId="23D98BA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79" w:name="_Toc15005"/>
      <w:r>
        <w:rPr>
          <w:rFonts w:hint="eastAsia" w:ascii="楷体_GB2312" w:hAnsi="楷体_GB2312" w:eastAsia="楷体_GB2312" w:cs="楷体_GB2312"/>
          <w:b/>
          <w:bCs/>
          <w:kern w:val="0"/>
          <w:sz w:val="32"/>
          <w:szCs w:val="32"/>
          <w:lang w:val="en-US" w:eastAsia="zh-CN"/>
        </w:rPr>
        <w:t>（二）按照规定的采购程序实施项目</w:t>
      </w:r>
      <w:bookmarkEnd w:id="79"/>
    </w:p>
    <w:p w14:paraId="692E99D2">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在项目采购阶段，应按照发布招标公告、供应商资格审查、投标或报价、评标或谈判、确定中标或成交供应商、签订合同的顺序执行。</w:t>
      </w:r>
    </w:p>
    <w:p w14:paraId="14B30B0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80" w:name="_Toc10848"/>
      <w:r>
        <w:rPr>
          <w:rFonts w:hint="eastAsia" w:ascii="楷体_GB2312" w:hAnsi="楷体_GB2312" w:eastAsia="楷体_GB2312" w:cs="楷体_GB2312"/>
          <w:b/>
          <w:bCs/>
          <w:kern w:val="0"/>
          <w:sz w:val="32"/>
          <w:szCs w:val="32"/>
          <w:lang w:val="en-US" w:eastAsia="zh-CN"/>
        </w:rPr>
        <w:t>（三）项目完成后及时编制绩效自评表</w:t>
      </w:r>
      <w:bookmarkEnd w:id="80"/>
    </w:p>
    <w:p w14:paraId="7D8866C4">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完成后应及时编制绩效自评表，自评表不仅是对项目执行情况的全面回顾和总结，也是对项目绩效的客观评估，旨在帮助政府部门更好地了解资金使用情况，优化资源配置，并为未来的项目决策提供有力依据。</w:t>
      </w:r>
    </w:p>
    <w:p w14:paraId="12E0217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81" w:name="_Toc29566"/>
      <w:r>
        <w:rPr>
          <w:rFonts w:hint="eastAsia" w:ascii="楷体_GB2312" w:hAnsi="楷体_GB2312" w:eastAsia="楷体_GB2312" w:cs="楷体_GB2312"/>
          <w:b/>
          <w:bCs/>
          <w:kern w:val="0"/>
          <w:sz w:val="32"/>
          <w:szCs w:val="32"/>
          <w:lang w:val="en-US" w:eastAsia="zh-CN"/>
        </w:rPr>
        <w:t>（四）合理规划工作任务，努力控制项目成本</w:t>
      </w:r>
      <w:bookmarkEnd w:id="81"/>
    </w:p>
    <w:p w14:paraId="3F36DC3F">
      <w:pPr>
        <w:numPr>
          <w:ilvl w:val="0"/>
          <w:numId w:val="0"/>
        </w:numPr>
        <w:spacing w:line="600" w:lineRule="exact"/>
        <w:ind w:firstLine="640" w:firstLineChars="200"/>
      </w:pPr>
      <w:r>
        <w:rPr>
          <w:rFonts w:hint="eastAsia" w:ascii="仿宋" w:hAnsi="仿宋" w:eastAsia="仿宋" w:cs="仿宋"/>
          <w:kern w:val="0"/>
          <w:sz w:val="32"/>
          <w:szCs w:val="32"/>
        </w:rPr>
        <w:t>合理编制项目资金开支计划，准确制定工作实施方案，加快项目的推进。根据工作任务合理预计经费支出，保证预算经费能够保证实际工作所需，在成本控制方面节约成本。</w:t>
      </w:r>
    </w:p>
    <w:p w14:paraId="2E8DAA0B">
      <w:pPr>
        <w:spacing w:line="600" w:lineRule="exact"/>
        <w:rPr>
          <w:rFonts w:ascii="仿宋" w:hAnsi="仿宋" w:eastAsia="仿宋" w:cs="仿宋"/>
          <w:kern w:val="0"/>
          <w:sz w:val="32"/>
          <w:szCs w:val="32"/>
        </w:rPr>
      </w:pPr>
    </w:p>
    <w:p w14:paraId="5261B898">
      <w:pPr>
        <w:spacing w:line="600" w:lineRule="exact"/>
        <w:ind w:left="1598" w:leftChars="304" w:hanging="960" w:hangingChars="300"/>
        <w:outlineLvl w:val="0"/>
        <w:rPr>
          <w:rFonts w:ascii="仿宋" w:hAnsi="仿宋" w:eastAsia="仿宋" w:cs="仿宋"/>
          <w:kern w:val="0"/>
          <w:sz w:val="32"/>
          <w:szCs w:val="32"/>
        </w:rPr>
      </w:pPr>
      <w:bookmarkStart w:id="82" w:name="_Toc12321"/>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82"/>
    </w:p>
    <w:bookmarkEnd w:id="61"/>
    <w:bookmarkEnd w:id="62"/>
    <w:bookmarkEnd w:id="63"/>
    <w:bookmarkEnd w:id="64"/>
    <w:bookmarkEnd w:id="65"/>
    <w:bookmarkEnd w:id="66"/>
    <w:bookmarkEnd w:id="67"/>
    <w:bookmarkEnd w:id="68"/>
    <w:p w14:paraId="3294F50E">
      <w:pPr>
        <w:spacing w:line="360" w:lineRule="auto"/>
        <w:rPr>
          <w:rFonts w:ascii="仿宋" w:hAnsi="仿宋" w:eastAsia="仿宋" w:cs="仿宋"/>
          <w:bCs/>
          <w:kern w:val="0"/>
          <w:sz w:val="32"/>
          <w:szCs w:val="32"/>
        </w:rPr>
      </w:pPr>
    </w:p>
    <w:p w14:paraId="479757D0">
      <w:pPr>
        <w:spacing w:line="600" w:lineRule="exact"/>
        <w:ind w:left="197" w:firstLine="361" w:firstLineChars="113"/>
        <w:jc w:val="center"/>
        <w:rPr>
          <w:rFonts w:hint="eastAsia" w:ascii="仿宋" w:hAnsi="仿宋" w:eastAsia="仿宋" w:cs="仿宋"/>
          <w:kern w:val="0"/>
          <w:sz w:val="32"/>
          <w:szCs w:val="32"/>
          <w:lang w:val="en-US" w:eastAsia="zh-CN"/>
        </w:rPr>
      </w:pPr>
    </w:p>
    <w:p w14:paraId="51146565">
      <w:pPr>
        <w:spacing w:line="600" w:lineRule="exact"/>
        <w:ind w:left="197" w:firstLine="361" w:firstLineChars="113"/>
        <w:jc w:val="center"/>
        <w:rPr>
          <w:rFonts w:hint="eastAsia" w:ascii="仿宋" w:hAnsi="仿宋" w:eastAsia="仿宋" w:cs="仿宋"/>
          <w:kern w:val="0"/>
          <w:sz w:val="32"/>
          <w:szCs w:val="32"/>
          <w:lang w:val="en-US" w:eastAsia="zh-CN"/>
        </w:rPr>
      </w:pPr>
    </w:p>
    <w:p w14:paraId="3833A6C5">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41E87A7C">
      <w:pPr>
        <w:spacing w:line="600" w:lineRule="exact"/>
        <w:ind w:left="197" w:firstLine="361" w:firstLineChars="113"/>
        <w:jc w:val="center"/>
        <w:rPr>
          <w:rFonts w:hint="eastAsia" w:ascii="仿宋" w:hAnsi="仿宋" w:eastAsia="仿宋" w:cs="仿宋"/>
          <w:kern w:val="0"/>
          <w:sz w:val="32"/>
          <w:szCs w:val="32"/>
          <w:lang w:val="en-US" w:eastAsia="zh-CN"/>
        </w:rPr>
      </w:pPr>
    </w:p>
    <w:p w14:paraId="1DF3D0D8">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14D0D39D">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650D3E32">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标准地建设文勘经费绩效评价指标体系打分表</w:t>
      </w:r>
    </w:p>
    <w:tbl>
      <w:tblPr>
        <w:tblStyle w:val="13"/>
        <w:tblW w:w="13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720"/>
        <w:gridCol w:w="656"/>
        <w:gridCol w:w="664"/>
        <w:gridCol w:w="1170"/>
        <w:gridCol w:w="720"/>
        <w:gridCol w:w="720"/>
        <w:gridCol w:w="5238"/>
        <w:gridCol w:w="1230"/>
        <w:gridCol w:w="855"/>
        <w:gridCol w:w="1275"/>
      </w:tblGrid>
      <w:tr w14:paraId="1340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9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B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0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52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E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6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5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9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7343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A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1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B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7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A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5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ACC8">
            <w:pPr>
              <w:jc w:val="center"/>
              <w:rPr>
                <w:rFonts w:hint="eastAsia" w:ascii="宋体" w:hAnsi="宋体" w:eastAsia="宋体" w:cs="宋体"/>
                <w:i w:val="0"/>
                <w:iCs w:val="0"/>
                <w:color w:val="000000"/>
                <w:sz w:val="22"/>
                <w:szCs w:val="22"/>
                <w:u w:val="none"/>
              </w:rPr>
            </w:pPr>
          </w:p>
        </w:tc>
        <w:tc>
          <w:tcPr>
            <w:tcW w:w="52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103E">
            <w:pPr>
              <w:jc w:val="center"/>
              <w:rPr>
                <w:rFonts w:hint="eastAsia" w:ascii="宋体" w:hAnsi="宋体" w:eastAsia="宋体" w:cs="宋体"/>
                <w:i w:val="0"/>
                <w:iCs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995D">
            <w:pPr>
              <w:jc w:val="center"/>
              <w:rPr>
                <w:rFonts w:hint="eastAsia" w:ascii="宋体" w:hAnsi="宋体" w:eastAsia="宋体" w:cs="宋体"/>
                <w:i w:val="0"/>
                <w:iCs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EA2C">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9C9F">
            <w:pPr>
              <w:jc w:val="center"/>
              <w:rPr>
                <w:rFonts w:hint="eastAsia" w:ascii="宋体" w:hAnsi="宋体" w:eastAsia="宋体" w:cs="宋体"/>
                <w:i w:val="0"/>
                <w:iCs w:val="0"/>
                <w:color w:val="000000"/>
                <w:sz w:val="22"/>
                <w:szCs w:val="22"/>
                <w:u w:val="none"/>
              </w:rPr>
            </w:pPr>
          </w:p>
        </w:tc>
      </w:tr>
      <w:tr w14:paraId="43BD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14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16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65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15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25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DC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3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F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8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A712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w:t>
            </w:r>
          </w:p>
        </w:tc>
      </w:tr>
      <w:tr w14:paraId="09B9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C8B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A48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86941">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4F58E">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3334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7199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E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B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5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E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E93E">
            <w:pPr>
              <w:jc w:val="center"/>
              <w:rPr>
                <w:rFonts w:hint="eastAsia" w:ascii="宋体" w:hAnsi="宋体" w:eastAsia="宋体" w:cs="宋体"/>
                <w:i w:val="0"/>
                <w:iCs w:val="0"/>
                <w:color w:val="000000"/>
                <w:sz w:val="22"/>
                <w:szCs w:val="22"/>
                <w:u w:val="none"/>
              </w:rPr>
            </w:pPr>
          </w:p>
        </w:tc>
      </w:tr>
      <w:tr w14:paraId="69EA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E58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E15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CAC81">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A1B99">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C680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AAA8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F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B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7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6292">
            <w:pPr>
              <w:jc w:val="center"/>
              <w:rPr>
                <w:rFonts w:hint="eastAsia" w:ascii="宋体" w:hAnsi="宋体" w:eastAsia="宋体" w:cs="宋体"/>
                <w:i w:val="0"/>
                <w:iCs w:val="0"/>
                <w:color w:val="000000"/>
                <w:sz w:val="22"/>
                <w:szCs w:val="22"/>
                <w:u w:val="none"/>
              </w:rPr>
            </w:pPr>
          </w:p>
        </w:tc>
      </w:tr>
      <w:tr w14:paraId="0839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81B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DB29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AB33">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64D6">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1597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77472">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5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9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2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D5AE">
            <w:pPr>
              <w:jc w:val="center"/>
              <w:rPr>
                <w:rFonts w:hint="eastAsia" w:ascii="宋体" w:hAnsi="宋体" w:eastAsia="宋体" w:cs="宋体"/>
                <w:i w:val="0"/>
                <w:iCs w:val="0"/>
                <w:color w:val="000000"/>
                <w:sz w:val="22"/>
                <w:szCs w:val="22"/>
                <w:u w:val="none"/>
              </w:rPr>
            </w:pPr>
          </w:p>
        </w:tc>
      </w:tr>
      <w:tr w14:paraId="289F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6DC5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C7DA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8F6D">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4B43">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A88E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12C1">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1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4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E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E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F6138">
            <w:pPr>
              <w:jc w:val="center"/>
              <w:rPr>
                <w:rFonts w:hint="eastAsia" w:ascii="宋体" w:hAnsi="宋体" w:eastAsia="宋体" w:cs="宋体"/>
                <w:i w:val="0"/>
                <w:iCs w:val="0"/>
                <w:color w:val="000000"/>
                <w:sz w:val="22"/>
                <w:szCs w:val="22"/>
                <w:u w:val="none"/>
              </w:rPr>
            </w:pPr>
          </w:p>
        </w:tc>
      </w:tr>
      <w:tr w14:paraId="565A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4A1B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E50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C833">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9333C">
            <w:pPr>
              <w:jc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2B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FA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8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F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E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0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4120">
            <w:pPr>
              <w:jc w:val="center"/>
              <w:rPr>
                <w:rFonts w:hint="eastAsia" w:ascii="宋体" w:hAnsi="宋体" w:eastAsia="宋体" w:cs="宋体"/>
                <w:i w:val="0"/>
                <w:iCs w:val="0"/>
                <w:color w:val="000000"/>
                <w:sz w:val="22"/>
                <w:szCs w:val="22"/>
                <w:u w:val="none"/>
              </w:rPr>
            </w:pPr>
          </w:p>
        </w:tc>
      </w:tr>
      <w:tr w14:paraId="2B6D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4B2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2FC7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2F567">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7459">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25A2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CE5A">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E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0416">
            <w:pPr>
              <w:jc w:val="center"/>
              <w:rPr>
                <w:rFonts w:hint="eastAsia" w:ascii="宋体" w:hAnsi="宋体" w:eastAsia="宋体" w:cs="宋体"/>
                <w:i w:val="0"/>
                <w:iCs w:val="0"/>
                <w:color w:val="000000"/>
                <w:sz w:val="22"/>
                <w:szCs w:val="22"/>
                <w:u w:val="none"/>
              </w:rPr>
            </w:pPr>
          </w:p>
        </w:tc>
      </w:tr>
      <w:tr w14:paraId="2715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9ED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0A2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C773E">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9B55">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18D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1FC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C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6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5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E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448B4">
            <w:pPr>
              <w:jc w:val="center"/>
              <w:rPr>
                <w:rFonts w:hint="eastAsia" w:ascii="宋体" w:hAnsi="宋体" w:eastAsia="宋体" w:cs="宋体"/>
                <w:i w:val="0"/>
                <w:iCs w:val="0"/>
                <w:color w:val="000000"/>
                <w:sz w:val="22"/>
                <w:szCs w:val="22"/>
                <w:u w:val="none"/>
              </w:rPr>
            </w:pPr>
          </w:p>
        </w:tc>
      </w:tr>
      <w:tr w14:paraId="4B8F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FC5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55DB6">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30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00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08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E7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5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2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8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4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45A4">
            <w:pPr>
              <w:jc w:val="center"/>
              <w:rPr>
                <w:rFonts w:hint="eastAsia" w:ascii="宋体" w:hAnsi="宋体" w:eastAsia="宋体" w:cs="宋体"/>
                <w:i w:val="0"/>
                <w:iCs w:val="0"/>
                <w:color w:val="000000"/>
                <w:sz w:val="22"/>
                <w:szCs w:val="22"/>
                <w:u w:val="none"/>
              </w:rPr>
            </w:pPr>
          </w:p>
        </w:tc>
      </w:tr>
      <w:tr w14:paraId="3251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39B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87CB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5FAF">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605BC">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91C3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2C92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C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B8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B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0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DAAED">
            <w:pPr>
              <w:jc w:val="center"/>
              <w:rPr>
                <w:rFonts w:hint="eastAsia" w:ascii="宋体" w:hAnsi="宋体" w:eastAsia="宋体" w:cs="宋体"/>
                <w:i w:val="0"/>
                <w:iCs w:val="0"/>
                <w:color w:val="000000"/>
                <w:sz w:val="22"/>
                <w:szCs w:val="22"/>
                <w:u w:val="none"/>
              </w:rPr>
            </w:pPr>
          </w:p>
        </w:tc>
      </w:tr>
      <w:tr w14:paraId="2010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17E2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0DE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16A1">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2DE57">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C343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A8E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F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3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D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F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C427">
            <w:pPr>
              <w:jc w:val="center"/>
              <w:rPr>
                <w:rFonts w:hint="eastAsia" w:ascii="宋体" w:hAnsi="宋体" w:eastAsia="宋体" w:cs="宋体"/>
                <w:i w:val="0"/>
                <w:iCs w:val="0"/>
                <w:color w:val="000000"/>
                <w:sz w:val="22"/>
                <w:szCs w:val="22"/>
                <w:u w:val="none"/>
              </w:rPr>
            </w:pPr>
          </w:p>
        </w:tc>
      </w:tr>
      <w:tr w14:paraId="02CD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B99B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234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8A4AE">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B0923">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2D9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DDD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9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7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F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5898B">
            <w:pPr>
              <w:jc w:val="center"/>
              <w:rPr>
                <w:rFonts w:hint="eastAsia" w:ascii="宋体" w:hAnsi="宋体" w:eastAsia="宋体" w:cs="宋体"/>
                <w:i w:val="0"/>
                <w:iCs w:val="0"/>
                <w:color w:val="000000"/>
                <w:sz w:val="22"/>
                <w:szCs w:val="22"/>
                <w:u w:val="none"/>
              </w:rPr>
            </w:pPr>
          </w:p>
        </w:tc>
      </w:tr>
      <w:tr w14:paraId="5AD6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882D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589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7348">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2F3BA">
            <w:pPr>
              <w:jc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DA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1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6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A8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4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ADD7">
            <w:pPr>
              <w:jc w:val="center"/>
              <w:rPr>
                <w:rFonts w:hint="eastAsia" w:ascii="宋体" w:hAnsi="宋体" w:eastAsia="宋体" w:cs="宋体"/>
                <w:i w:val="0"/>
                <w:iCs w:val="0"/>
                <w:color w:val="000000"/>
                <w:sz w:val="22"/>
                <w:szCs w:val="22"/>
                <w:u w:val="none"/>
              </w:rPr>
            </w:pPr>
          </w:p>
        </w:tc>
      </w:tr>
      <w:tr w14:paraId="53F9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0C4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05D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D06B4">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4B4C">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0FC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FF1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4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3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0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D7E28">
            <w:pPr>
              <w:jc w:val="center"/>
              <w:rPr>
                <w:rFonts w:hint="eastAsia" w:ascii="宋体" w:hAnsi="宋体" w:eastAsia="宋体" w:cs="宋体"/>
                <w:i w:val="0"/>
                <w:iCs w:val="0"/>
                <w:color w:val="000000"/>
                <w:sz w:val="22"/>
                <w:szCs w:val="22"/>
                <w:u w:val="none"/>
              </w:rPr>
            </w:pPr>
          </w:p>
        </w:tc>
      </w:tr>
      <w:tr w14:paraId="0027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4142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6BD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345F1">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F7BF">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2290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E3E4F">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6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E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7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87306">
            <w:pPr>
              <w:jc w:val="center"/>
              <w:rPr>
                <w:rFonts w:hint="eastAsia" w:ascii="宋体" w:hAnsi="宋体" w:eastAsia="宋体" w:cs="宋体"/>
                <w:i w:val="0"/>
                <w:iCs w:val="0"/>
                <w:color w:val="000000"/>
                <w:sz w:val="22"/>
                <w:szCs w:val="22"/>
                <w:u w:val="none"/>
              </w:rPr>
            </w:pPr>
          </w:p>
        </w:tc>
      </w:tr>
      <w:tr w14:paraId="77BE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C071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66373">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CF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3A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A4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FE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0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E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5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C0924">
            <w:pPr>
              <w:jc w:val="center"/>
              <w:rPr>
                <w:rFonts w:hint="eastAsia" w:ascii="宋体" w:hAnsi="宋体" w:eastAsia="宋体" w:cs="宋体"/>
                <w:i w:val="0"/>
                <w:iCs w:val="0"/>
                <w:color w:val="000000"/>
                <w:sz w:val="22"/>
                <w:szCs w:val="22"/>
                <w:u w:val="none"/>
              </w:rPr>
            </w:pPr>
          </w:p>
        </w:tc>
      </w:tr>
      <w:tr w14:paraId="6459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0D5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5299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540A">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889C0">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0EFB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16DC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D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3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4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7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D54D8">
            <w:pPr>
              <w:jc w:val="center"/>
              <w:rPr>
                <w:rFonts w:hint="eastAsia" w:ascii="宋体" w:hAnsi="宋体" w:eastAsia="宋体" w:cs="宋体"/>
                <w:i w:val="0"/>
                <w:iCs w:val="0"/>
                <w:color w:val="000000"/>
                <w:sz w:val="22"/>
                <w:szCs w:val="22"/>
                <w:u w:val="none"/>
              </w:rPr>
            </w:pPr>
          </w:p>
        </w:tc>
      </w:tr>
      <w:tr w14:paraId="6EF1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B9F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EBD1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FBB03">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59E7">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D2A5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FDFD">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5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C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7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2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DE95">
            <w:pPr>
              <w:jc w:val="center"/>
              <w:rPr>
                <w:rFonts w:hint="eastAsia" w:ascii="宋体" w:hAnsi="宋体" w:eastAsia="宋体" w:cs="宋体"/>
                <w:i w:val="0"/>
                <w:iCs w:val="0"/>
                <w:color w:val="000000"/>
                <w:sz w:val="22"/>
                <w:szCs w:val="22"/>
                <w:u w:val="none"/>
              </w:rPr>
            </w:pPr>
          </w:p>
        </w:tc>
      </w:tr>
      <w:tr w14:paraId="4BB1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4D9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9F9A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B88C">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7B2C3">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B154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51B3">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8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8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5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0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63E04">
            <w:pPr>
              <w:jc w:val="center"/>
              <w:rPr>
                <w:rFonts w:hint="eastAsia" w:ascii="宋体" w:hAnsi="宋体" w:eastAsia="宋体" w:cs="宋体"/>
                <w:i w:val="0"/>
                <w:iCs w:val="0"/>
                <w:color w:val="000000"/>
                <w:sz w:val="22"/>
                <w:szCs w:val="22"/>
                <w:u w:val="none"/>
              </w:rPr>
            </w:pPr>
          </w:p>
        </w:tc>
      </w:tr>
      <w:tr w14:paraId="0723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5B3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8B6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B912B">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A87BB">
            <w:pPr>
              <w:jc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4C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4F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3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F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4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D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55E4F">
            <w:pPr>
              <w:jc w:val="center"/>
              <w:rPr>
                <w:rFonts w:hint="eastAsia" w:ascii="宋体" w:hAnsi="宋体" w:eastAsia="宋体" w:cs="宋体"/>
                <w:i w:val="0"/>
                <w:iCs w:val="0"/>
                <w:color w:val="000000"/>
                <w:sz w:val="22"/>
                <w:szCs w:val="22"/>
                <w:u w:val="none"/>
              </w:rPr>
            </w:pPr>
          </w:p>
        </w:tc>
      </w:tr>
      <w:tr w14:paraId="5635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4C49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837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57C32">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0B8F3">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3E2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8485">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D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9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0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2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B6248">
            <w:pPr>
              <w:jc w:val="center"/>
              <w:rPr>
                <w:rFonts w:hint="eastAsia" w:ascii="宋体" w:hAnsi="宋体" w:eastAsia="宋体" w:cs="宋体"/>
                <w:i w:val="0"/>
                <w:iCs w:val="0"/>
                <w:color w:val="000000"/>
                <w:sz w:val="22"/>
                <w:szCs w:val="22"/>
                <w:u w:val="none"/>
              </w:rPr>
            </w:pPr>
          </w:p>
        </w:tc>
      </w:tr>
      <w:tr w14:paraId="6A13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69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43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CE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40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0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F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3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8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BE7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r>
      <w:tr w14:paraId="1ED5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C2C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0998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E20F6">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2DDF8">
            <w:pPr>
              <w:jc w:val="cente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3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7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4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9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F606">
            <w:pPr>
              <w:jc w:val="center"/>
              <w:rPr>
                <w:rFonts w:hint="eastAsia" w:ascii="宋体" w:hAnsi="宋体" w:eastAsia="宋体" w:cs="宋体"/>
                <w:i w:val="0"/>
                <w:iCs w:val="0"/>
                <w:color w:val="000000"/>
                <w:sz w:val="22"/>
                <w:szCs w:val="22"/>
                <w:u w:val="none"/>
              </w:rPr>
            </w:pPr>
          </w:p>
        </w:tc>
      </w:tr>
      <w:tr w14:paraId="1B3A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88FC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46BB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AD36F">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205E1">
            <w:pPr>
              <w:jc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33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DD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C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F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A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DF36">
            <w:pPr>
              <w:jc w:val="center"/>
              <w:rPr>
                <w:rFonts w:hint="eastAsia" w:ascii="宋体" w:hAnsi="宋体" w:eastAsia="宋体" w:cs="宋体"/>
                <w:i w:val="0"/>
                <w:iCs w:val="0"/>
                <w:color w:val="000000"/>
                <w:sz w:val="22"/>
                <w:szCs w:val="22"/>
                <w:u w:val="none"/>
              </w:rPr>
            </w:pPr>
          </w:p>
        </w:tc>
      </w:tr>
      <w:tr w14:paraId="1AA6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81F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C179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4860F">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8696">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4C4E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FB8F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0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0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4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0193F">
            <w:pPr>
              <w:jc w:val="center"/>
              <w:rPr>
                <w:rFonts w:hint="eastAsia" w:ascii="宋体" w:hAnsi="宋体" w:eastAsia="宋体" w:cs="宋体"/>
                <w:i w:val="0"/>
                <w:iCs w:val="0"/>
                <w:color w:val="000000"/>
                <w:sz w:val="22"/>
                <w:szCs w:val="22"/>
                <w:u w:val="none"/>
              </w:rPr>
            </w:pPr>
          </w:p>
        </w:tc>
      </w:tr>
      <w:tr w14:paraId="6D6B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F9D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04E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8BA96">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28593">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CF6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166C6">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E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A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E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9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6F307">
            <w:pPr>
              <w:jc w:val="center"/>
              <w:rPr>
                <w:rFonts w:hint="eastAsia" w:ascii="宋体" w:hAnsi="宋体" w:eastAsia="宋体" w:cs="宋体"/>
                <w:i w:val="0"/>
                <w:iCs w:val="0"/>
                <w:color w:val="000000"/>
                <w:sz w:val="22"/>
                <w:szCs w:val="22"/>
                <w:u w:val="none"/>
              </w:rPr>
            </w:pPr>
          </w:p>
        </w:tc>
      </w:tr>
      <w:tr w14:paraId="4FB1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D63B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E688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CDA33">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C997F">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2109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D83B2">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D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0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3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6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05B1">
            <w:pPr>
              <w:jc w:val="center"/>
              <w:rPr>
                <w:rFonts w:hint="eastAsia" w:ascii="宋体" w:hAnsi="宋体" w:eastAsia="宋体" w:cs="宋体"/>
                <w:i w:val="0"/>
                <w:iCs w:val="0"/>
                <w:color w:val="000000"/>
                <w:sz w:val="22"/>
                <w:szCs w:val="22"/>
                <w:u w:val="none"/>
              </w:rPr>
            </w:pPr>
          </w:p>
        </w:tc>
      </w:tr>
      <w:tr w14:paraId="4F34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752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A6DBE">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93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BD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3A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6C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8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6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F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3598E">
            <w:pPr>
              <w:jc w:val="center"/>
              <w:rPr>
                <w:rFonts w:hint="eastAsia" w:ascii="宋体" w:hAnsi="宋体" w:eastAsia="宋体" w:cs="宋体"/>
                <w:i w:val="0"/>
                <w:iCs w:val="0"/>
                <w:color w:val="000000"/>
                <w:sz w:val="22"/>
                <w:szCs w:val="22"/>
                <w:u w:val="none"/>
              </w:rPr>
            </w:pPr>
          </w:p>
        </w:tc>
      </w:tr>
      <w:tr w14:paraId="770F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30F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8650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69DAE">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64EAF">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DCE6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66D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8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8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1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2316">
            <w:pPr>
              <w:jc w:val="center"/>
              <w:rPr>
                <w:rFonts w:hint="eastAsia" w:ascii="宋体" w:hAnsi="宋体" w:eastAsia="宋体" w:cs="宋体"/>
                <w:i w:val="0"/>
                <w:iCs w:val="0"/>
                <w:color w:val="000000"/>
                <w:sz w:val="22"/>
                <w:szCs w:val="22"/>
                <w:u w:val="none"/>
              </w:rPr>
            </w:pPr>
          </w:p>
        </w:tc>
      </w:tr>
      <w:tr w14:paraId="6CFF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3B19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B8EC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8DADF">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2AE8">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744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B5C1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5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7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E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91C8E">
            <w:pPr>
              <w:jc w:val="center"/>
              <w:rPr>
                <w:rFonts w:hint="eastAsia" w:ascii="宋体" w:hAnsi="宋体" w:eastAsia="宋体" w:cs="宋体"/>
                <w:i w:val="0"/>
                <w:iCs w:val="0"/>
                <w:color w:val="000000"/>
                <w:sz w:val="22"/>
                <w:szCs w:val="22"/>
                <w:u w:val="none"/>
              </w:rPr>
            </w:pPr>
          </w:p>
        </w:tc>
      </w:tr>
      <w:tr w14:paraId="738A9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B5CB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64D1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34AA">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7F09">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0FA1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610C6">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1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E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5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D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37695">
            <w:pPr>
              <w:jc w:val="center"/>
              <w:rPr>
                <w:rFonts w:hint="eastAsia" w:ascii="宋体" w:hAnsi="宋体" w:eastAsia="宋体" w:cs="宋体"/>
                <w:i w:val="0"/>
                <w:iCs w:val="0"/>
                <w:color w:val="000000"/>
                <w:sz w:val="22"/>
                <w:szCs w:val="22"/>
                <w:u w:val="none"/>
              </w:rPr>
            </w:pPr>
          </w:p>
        </w:tc>
      </w:tr>
      <w:tr w14:paraId="5F44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A5F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F464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879B6">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7A1A7">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E220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A9C1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1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5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6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3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72420">
            <w:pPr>
              <w:jc w:val="center"/>
              <w:rPr>
                <w:rFonts w:hint="eastAsia" w:ascii="宋体" w:hAnsi="宋体" w:eastAsia="宋体" w:cs="宋体"/>
                <w:i w:val="0"/>
                <w:iCs w:val="0"/>
                <w:color w:val="000000"/>
                <w:sz w:val="22"/>
                <w:szCs w:val="22"/>
                <w:u w:val="none"/>
              </w:rPr>
            </w:pPr>
          </w:p>
        </w:tc>
      </w:tr>
      <w:tr w14:paraId="5149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6D1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BFF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0092">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4D8C6">
            <w:pPr>
              <w:jc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56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E2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B9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4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未指定业务管理制度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8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7B3B">
            <w:pPr>
              <w:jc w:val="center"/>
              <w:rPr>
                <w:rFonts w:hint="eastAsia" w:ascii="宋体" w:hAnsi="宋体" w:eastAsia="宋体" w:cs="宋体"/>
                <w:i w:val="0"/>
                <w:iCs w:val="0"/>
                <w:color w:val="000000"/>
                <w:sz w:val="22"/>
                <w:szCs w:val="22"/>
                <w:u w:val="none"/>
              </w:rPr>
            </w:pPr>
          </w:p>
        </w:tc>
      </w:tr>
      <w:tr w14:paraId="3D5C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5668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660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304D">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23AF6">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A83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B2BA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1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65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3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未指定业务管理制度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4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51488">
            <w:pPr>
              <w:jc w:val="center"/>
              <w:rPr>
                <w:rFonts w:hint="eastAsia" w:ascii="宋体" w:hAnsi="宋体" w:eastAsia="宋体" w:cs="宋体"/>
                <w:i w:val="0"/>
                <w:iCs w:val="0"/>
                <w:color w:val="000000"/>
                <w:sz w:val="22"/>
                <w:szCs w:val="22"/>
                <w:u w:val="none"/>
              </w:rPr>
            </w:pPr>
          </w:p>
        </w:tc>
      </w:tr>
      <w:tr w14:paraId="258A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1C27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D354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67A0C">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7695A">
            <w:pPr>
              <w:jc w:val="center"/>
              <w:rPr>
                <w:rFonts w:hint="eastAsia" w:ascii="宋体" w:hAnsi="宋体" w:eastAsia="宋体" w:cs="宋体"/>
                <w:i w:val="0"/>
                <w:iCs w:val="0"/>
                <w:color w:val="000000"/>
                <w:sz w:val="22"/>
                <w:szCs w:val="22"/>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BB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2E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7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0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2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未编制自评表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0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58986">
            <w:pPr>
              <w:jc w:val="center"/>
              <w:rPr>
                <w:rFonts w:hint="eastAsia" w:ascii="宋体" w:hAnsi="宋体" w:eastAsia="宋体" w:cs="宋体"/>
                <w:i w:val="0"/>
                <w:iCs w:val="0"/>
                <w:color w:val="000000"/>
                <w:sz w:val="22"/>
                <w:szCs w:val="22"/>
                <w:u w:val="none"/>
              </w:rPr>
            </w:pPr>
          </w:p>
        </w:tc>
      </w:tr>
      <w:tr w14:paraId="75C5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3D1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BDBC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63AF0">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92E9">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ABF2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D50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2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B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4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FF9F">
            <w:pPr>
              <w:jc w:val="center"/>
              <w:rPr>
                <w:rFonts w:hint="eastAsia" w:ascii="宋体" w:hAnsi="宋体" w:eastAsia="宋体" w:cs="宋体"/>
                <w:i w:val="0"/>
                <w:iCs w:val="0"/>
                <w:color w:val="000000"/>
                <w:sz w:val="22"/>
                <w:szCs w:val="22"/>
                <w:u w:val="none"/>
              </w:rPr>
            </w:pPr>
          </w:p>
        </w:tc>
      </w:tr>
      <w:tr w14:paraId="2534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37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90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C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C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6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标准地建设文勘经费实际完成率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6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0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标准地发掘技术服务费、发掘劳务费和标准地文勘服务费，实际完成率：按照{已完成工作进度}/{计划工作进度}*100%得出指标值，按照（指标值-（60%））/（（100%）-（60%））× 赋分值得分。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C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7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1B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34.56</w:t>
            </w:r>
          </w:p>
        </w:tc>
      </w:tr>
      <w:tr w14:paraId="50F0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A49A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0113D">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8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3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B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标准地建设文勘经费质量合格率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C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6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标准地发掘技术服务费、发掘劳务费和标准地文勘服务费，质量达标率：按照{经费项目质量达标项目数}/1*100%得出指标值，按照（指标值-（60%））/（（100%）-（60%））× 赋分值得分。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B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898C">
            <w:pPr>
              <w:jc w:val="center"/>
              <w:rPr>
                <w:rFonts w:hint="eastAsia" w:ascii="宋体" w:hAnsi="宋体" w:eastAsia="宋体" w:cs="宋体"/>
                <w:i w:val="0"/>
                <w:iCs w:val="0"/>
                <w:color w:val="000000"/>
                <w:sz w:val="22"/>
                <w:szCs w:val="22"/>
                <w:u w:val="none"/>
              </w:rPr>
            </w:pPr>
          </w:p>
        </w:tc>
      </w:tr>
      <w:tr w14:paraId="5DBA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AB1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B56CF">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5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6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标准地建设文勘经费完成及时率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4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1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D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标准地发掘技术服务费、发掘劳务费和标准地文勘服务费，完成及时率：按照{已完成工作进度}/{计划工作进度}*100%得出指标值，按照（指标值-（60%））/（（100%）-（60%））× 赋分值得分。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E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2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D39F">
            <w:pPr>
              <w:jc w:val="center"/>
              <w:rPr>
                <w:rFonts w:hint="eastAsia" w:ascii="宋体" w:hAnsi="宋体" w:eastAsia="宋体" w:cs="宋体"/>
                <w:i w:val="0"/>
                <w:iCs w:val="0"/>
                <w:color w:val="000000"/>
                <w:sz w:val="22"/>
                <w:szCs w:val="22"/>
                <w:u w:val="none"/>
              </w:rPr>
            </w:pPr>
          </w:p>
        </w:tc>
      </w:tr>
      <w:tr w14:paraId="12EA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C180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C3ED6">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A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4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0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标准地建设文勘经费成本节约率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5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B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标准地发掘技术服务费、发掘劳务费和标准地文勘服务费，成本节约率：按照({经费项目计划支出}-{经费项目预计支出})/{经费项目计划支出}*100%得出指标值，按照（指标值-（-10%））/（（0%）-（-10%））× 赋分值得分。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9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2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789B">
            <w:pPr>
              <w:jc w:val="center"/>
              <w:rPr>
                <w:rFonts w:hint="eastAsia" w:ascii="宋体" w:hAnsi="宋体" w:eastAsia="宋体" w:cs="宋体"/>
                <w:i w:val="0"/>
                <w:iCs w:val="0"/>
                <w:color w:val="000000"/>
                <w:sz w:val="22"/>
                <w:szCs w:val="22"/>
                <w:u w:val="none"/>
              </w:rPr>
            </w:pPr>
          </w:p>
        </w:tc>
      </w:tr>
      <w:tr w14:paraId="00A1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D0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59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B2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85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B6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挖掘和保护历史文化遗产，为资源开发和环境保护提供科学依据 </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02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5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3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文勘，可以挖掘和保护城市的历史文化遗产，传承和弘扬民族文化。：按照*&lt;计算公式&gt;*得出指标值，按照*&lt;得分公式&gt;*得分。达成目标得100%分，基本达成目标得75%分，部分实现目标得50%分，实现程度较低得25%分，实现程度低得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4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9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8C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2D0A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CB9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CF6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F09F">
            <w:pPr>
              <w:jc w:val="center"/>
              <w:rPr>
                <w:rFonts w:hint="eastAsia" w:ascii="宋体" w:hAnsi="宋体" w:eastAsia="宋体" w:cs="宋体"/>
                <w:i w:val="0"/>
                <w:iCs w:val="0"/>
                <w:color w:val="000000"/>
                <w:sz w:val="22"/>
                <w:szCs w:val="22"/>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FF560">
            <w:pPr>
              <w:jc w:val="center"/>
              <w:rPr>
                <w:rFonts w:hint="eastAsia" w:ascii="宋体" w:hAnsi="宋体" w:eastAsia="宋体" w:cs="宋体"/>
                <w:i w:val="0"/>
                <w:iCs w:val="0"/>
                <w:color w:val="000000"/>
                <w:sz w:val="22"/>
                <w:szCs w:val="22"/>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0C22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310C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6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9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助于提升勘查技术的研发和应用，推动地质勘查行业的整体发展。可以更深入地了解地质结构、资源分布等情况，为资源开发和环境保护提供科学依据。：按照*&lt;计算公式&gt;*得出指标值，按照*&lt;得分公式&gt;*得分。达成目标得100%分，基本达成目标得75%分，部分实现目标得50%分，实现程度较低得25%分，实现程度低得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9D354">
            <w:pPr>
              <w:jc w:val="center"/>
              <w:rPr>
                <w:rFonts w:hint="eastAsia" w:ascii="宋体" w:hAnsi="宋体" w:eastAsia="宋体" w:cs="宋体"/>
                <w:i w:val="0"/>
                <w:iCs w:val="0"/>
                <w:color w:val="000000"/>
                <w:sz w:val="22"/>
                <w:szCs w:val="22"/>
                <w:u w:val="none"/>
              </w:rPr>
            </w:pPr>
          </w:p>
        </w:tc>
      </w:tr>
      <w:tr w14:paraId="45A8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4845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578F2">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3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0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A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A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8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社会公众满意度：按照*&lt;计算公式&gt;*得出指标值，按照*&lt;得分公式&gt;*得分。满意得100%分，较满意得80%分，基本满意得60%分，较不满意得30%分，不满意得0%分。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8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9B9B9">
            <w:pPr>
              <w:jc w:val="center"/>
              <w:rPr>
                <w:rFonts w:hint="eastAsia" w:ascii="宋体" w:hAnsi="宋体" w:eastAsia="宋体" w:cs="宋体"/>
                <w:i w:val="0"/>
                <w:iCs w:val="0"/>
                <w:color w:val="000000"/>
                <w:sz w:val="22"/>
                <w:szCs w:val="22"/>
                <w:u w:val="none"/>
              </w:rPr>
            </w:pPr>
          </w:p>
        </w:tc>
      </w:tr>
      <w:tr w14:paraId="7AE8D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B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1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1090">
            <w:pP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6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869F">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8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C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8B9B">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A052">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58C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89.56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CD2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89.56</w:t>
            </w:r>
          </w:p>
        </w:tc>
      </w:tr>
    </w:tbl>
    <w:p w14:paraId="4E7F128B">
      <w:pPr>
        <w:spacing w:line="600" w:lineRule="exact"/>
        <w:jc w:val="both"/>
        <w:rPr>
          <w:rFonts w:hint="default" w:ascii="仿宋" w:hAnsi="仿宋" w:eastAsia="仿宋" w:cs="仿宋"/>
          <w:kern w:val="0"/>
          <w:sz w:val="32"/>
          <w:szCs w:val="32"/>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470AF4-FA41-4E0C-9621-16BEEAD049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345A644-67C8-40DE-8E70-4223E8AC465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1DF1EA3F-15B5-49E1-BA2F-6B1A62E4DCF6}"/>
  </w:font>
  <w:font w:name="楷体_GB2312">
    <w:panose1 w:val="02010609060101010101"/>
    <w:charset w:val="86"/>
    <w:family w:val="auto"/>
    <w:pitch w:val="default"/>
    <w:sig w:usb0="800002BF" w:usb1="38CF7CFA" w:usb2="00000016" w:usb3="00000000" w:csb0="00040001" w:csb1="00000000"/>
    <w:embedRegular r:id="rId4" w:fontKey="{FB55B0AF-1EF3-486C-9CF7-5874B293BB81}"/>
  </w:font>
  <w:font w:name="方正小标宋_GBK">
    <w:panose1 w:val="02000000000000000000"/>
    <w:charset w:val="86"/>
    <w:family w:val="auto"/>
    <w:pitch w:val="default"/>
    <w:sig w:usb0="A00002BF" w:usb1="38CF7CFA" w:usb2="00082016" w:usb3="00000000" w:csb0="00040001" w:csb1="00000000"/>
    <w:embedRegular r:id="rId5" w:fontKey="{49DB42EC-C567-4BFD-B3E2-09FF8604F49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32636">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CAE4">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582B5">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22D6">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9229D">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99229D">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B3D2D80"/>
    <w:rsid w:val="14AF514A"/>
    <w:rsid w:val="152B0FA4"/>
    <w:rsid w:val="1E3F2FA7"/>
    <w:rsid w:val="2ADD43D4"/>
    <w:rsid w:val="31141606"/>
    <w:rsid w:val="36EC6980"/>
    <w:rsid w:val="37912C5A"/>
    <w:rsid w:val="3C62390A"/>
    <w:rsid w:val="421E0F71"/>
    <w:rsid w:val="48860D30"/>
    <w:rsid w:val="53CB5A54"/>
    <w:rsid w:val="5BCA4F2B"/>
    <w:rsid w:val="6AA34B57"/>
    <w:rsid w:val="7D00437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22686980-8141-422c-a524-85f0e61092c5}">
  <ds:schemaRefs/>
</ds:datastoreItem>
</file>

<file path=customXml/itemProps4.xml><?xml version="1.0" encoding="utf-8"?>
<ds:datastoreItem xmlns:ds="http://schemas.openxmlformats.org/officeDocument/2006/customXml" ds:itemID="{a76f30c0-4396-475f-a02f-795db45766f2}">
  <ds:schemaRefs/>
</ds:datastoreItem>
</file>

<file path=customXml/itemProps5.xml><?xml version="1.0" encoding="utf-8"?>
<ds:datastoreItem xmlns:ds="http://schemas.openxmlformats.org/officeDocument/2006/customXml" ds:itemID="{46f4d553-eb50-4d2c-85fb-44c25fe5b2a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10391</Words>
  <Characters>11322</Characters>
  <Lines>38</Lines>
  <Paragraphs>10</Paragraphs>
  <TotalTime>20</TotalTime>
  <ScaleCrop>false</ScaleCrop>
  <LinksUpToDate>false</LinksUpToDate>
  <CharactersWithSpaces>11420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2024-11-11T09:40:57Z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1EA3BE53E1964EB294404DE267E60F0A_13</vt:lpwstr>
  </property>
</Properties>
</file>