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5594B">
      <w:pPr>
        <w:spacing w:line="248" w:lineRule="auto"/>
        <w:rPr>
          <w:rFonts w:ascii="宋体"/>
        </w:rPr>
      </w:pPr>
    </w:p>
    <w:p w14:paraId="1355BA4A">
      <w:pPr>
        <w:spacing w:line="248" w:lineRule="auto"/>
        <w:rPr>
          <w:rFonts w:ascii="宋体"/>
        </w:rPr>
      </w:pPr>
      <w:bookmarkStart w:id="0" w:name="_Toc28812"/>
    </w:p>
    <w:p w14:paraId="3FDD3BDC">
      <w:pPr>
        <w:spacing w:line="248" w:lineRule="auto"/>
        <w:rPr>
          <w:rFonts w:ascii="宋体"/>
        </w:rPr>
      </w:pPr>
    </w:p>
    <w:p w14:paraId="078F3154">
      <w:pPr>
        <w:jc w:val="center"/>
        <w:outlineLvl w:val="9"/>
        <w:rPr>
          <w:rFonts w:ascii="楷体" w:hAnsi="楷体" w:eastAsia="楷体" w:cs="楷体"/>
          <w:b/>
          <w:bCs/>
          <w:sz w:val="36"/>
          <w:szCs w:val="36"/>
        </w:rPr>
      </w:pPr>
      <w:bookmarkStart w:id="1" w:name="_Toc24848"/>
      <w:bookmarkStart w:id="2" w:name="_Toc16984"/>
      <w:r>
        <w:rPr>
          <w:rFonts w:ascii="楷体" w:hAnsi="楷体" w:eastAsia="楷体" w:cs="楷体"/>
          <w:b/>
          <w:bCs/>
          <w:sz w:val="36"/>
          <w:szCs w:val="36"/>
        </w:rPr>
        <w:t>智慧交通信息化建设工作经费</w:t>
      </w:r>
      <w:bookmarkEnd w:id="1"/>
      <w:bookmarkEnd w:id="2"/>
    </w:p>
    <w:p w14:paraId="3A1D1F45">
      <w:pPr>
        <w:spacing w:line="248" w:lineRule="auto"/>
        <w:rPr>
          <w:rFonts w:ascii="宋体"/>
        </w:rPr>
      </w:pPr>
    </w:p>
    <w:p w14:paraId="5A653DFE">
      <w:pPr>
        <w:spacing w:line="248" w:lineRule="auto"/>
        <w:rPr>
          <w:rFonts w:ascii="宋体"/>
        </w:rPr>
      </w:pPr>
    </w:p>
    <w:p w14:paraId="4377AB28">
      <w:pPr>
        <w:spacing w:line="248" w:lineRule="auto"/>
        <w:rPr>
          <w:rFonts w:ascii="宋体"/>
        </w:rPr>
      </w:pPr>
    </w:p>
    <w:p w14:paraId="5496EB97">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62A1EBF7">
      <w:pPr>
        <w:spacing w:line="248" w:lineRule="auto"/>
        <w:rPr>
          <w:rFonts w:ascii="宋体"/>
        </w:rPr>
      </w:pPr>
    </w:p>
    <w:p w14:paraId="5D280FB9">
      <w:pPr>
        <w:spacing w:line="248" w:lineRule="auto"/>
        <w:rPr>
          <w:rFonts w:ascii="宋体"/>
        </w:rPr>
      </w:pPr>
    </w:p>
    <w:p w14:paraId="6C6EA9A2">
      <w:pPr>
        <w:spacing w:line="248" w:lineRule="auto"/>
        <w:jc w:val="left"/>
        <w:rPr>
          <w:rFonts w:ascii="宋体"/>
        </w:rPr>
      </w:pPr>
    </w:p>
    <w:p w14:paraId="7D390D61">
      <w:pPr>
        <w:spacing w:line="248" w:lineRule="auto"/>
        <w:jc w:val="left"/>
        <w:rPr>
          <w:rFonts w:ascii="宋体"/>
        </w:rPr>
      </w:pPr>
    </w:p>
    <w:p w14:paraId="49E40D3E">
      <w:pPr>
        <w:spacing w:line="248" w:lineRule="auto"/>
        <w:jc w:val="left"/>
        <w:rPr>
          <w:rFonts w:ascii="宋体"/>
        </w:rPr>
      </w:pPr>
    </w:p>
    <w:p w14:paraId="06CD7E85">
      <w:pPr>
        <w:spacing w:line="248" w:lineRule="auto"/>
        <w:jc w:val="left"/>
        <w:rPr>
          <w:rFonts w:ascii="宋体"/>
        </w:rPr>
      </w:pPr>
    </w:p>
    <w:p w14:paraId="5BF7CD58">
      <w:pPr>
        <w:spacing w:line="248" w:lineRule="auto"/>
        <w:jc w:val="left"/>
        <w:rPr>
          <w:rFonts w:ascii="宋体"/>
        </w:rPr>
      </w:pPr>
    </w:p>
    <w:p w14:paraId="7B864E86">
      <w:pPr>
        <w:spacing w:line="248" w:lineRule="auto"/>
        <w:jc w:val="left"/>
        <w:rPr>
          <w:rFonts w:ascii="宋体"/>
        </w:rPr>
      </w:pPr>
    </w:p>
    <w:p w14:paraId="44C33A08">
      <w:pPr>
        <w:spacing w:line="248" w:lineRule="auto"/>
        <w:rPr>
          <w:rFonts w:ascii="宋体"/>
        </w:rPr>
      </w:pPr>
    </w:p>
    <w:p w14:paraId="37BCFEE7">
      <w:pPr>
        <w:spacing w:line="248" w:lineRule="auto"/>
        <w:jc w:val="left"/>
        <w:rPr>
          <w:rFonts w:ascii="宋体"/>
        </w:rPr>
      </w:pPr>
    </w:p>
    <w:p w14:paraId="78F5E47E">
      <w:pPr>
        <w:spacing w:line="248" w:lineRule="auto"/>
        <w:jc w:val="left"/>
        <w:rPr>
          <w:rFonts w:ascii="宋体"/>
        </w:rPr>
      </w:pPr>
    </w:p>
    <w:p w14:paraId="20FC46FC">
      <w:pPr>
        <w:spacing w:line="248" w:lineRule="auto"/>
        <w:jc w:val="left"/>
        <w:rPr>
          <w:rFonts w:ascii="宋体"/>
        </w:rPr>
      </w:pPr>
    </w:p>
    <w:p w14:paraId="659CA2F0">
      <w:pPr>
        <w:spacing w:line="248" w:lineRule="auto"/>
        <w:jc w:val="left"/>
        <w:rPr>
          <w:rFonts w:ascii="宋体"/>
        </w:rPr>
      </w:pPr>
    </w:p>
    <w:p w14:paraId="67B071C8">
      <w:pPr>
        <w:spacing w:line="248" w:lineRule="auto"/>
        <w:jc w:val="left"/>
        <w:rPr>
          <w:rFonts w:ascii="宋体"/>
        </w:rPr>
      </w:pPr>
    </w:p>
    <w:p w14:paraId="6136C8DE">
      <w:pPr>
        <w:spacing w:line="248" w:lineRule="auto"/>
        <w:jc w:val="left"/>
        <w:rPr>
          <w:rFonts w:ascii="宋体"/>
        </w:rPr>
      </w:pPr>
    </w:p>
    <w:p w14:paraId="6F6AAFE2">
      <w:pPr>
        <w:spacing w:line="248" w:lineRule="auto"/>
        <w:jc w:val="left"/>
        <w:rPr>
          <w:rFonts w:ascii="宋体"/>
        </w:rPr>
      </w:pPr>
    </w:p>
    <w:p w14:paraId="58AA61D6">
      <w:pPr>
        <w:spacing w:line="248" w:lineRule="auto"/>
        <w:rPr>
          <w:rFonts w:ascii="宋体"/>
        </w:rPr>
      </w:pPr>
    </w:p>
    <w:p w14:paraId="0C49E061">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主管部门：扶风县交通运输局</w:t>
      </w:r>
    </w:p>
    <w:p w14:paraId="757E8BDB">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项目单位：扶风县交通运输局</w:t>
      </w:r>
    </w:p>
    <w:p w14:paraId="39A401B8">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71D1141A">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09BDA8EB">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5EC62F3E">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4EBE9CB3">
          <w:pPr>
            <w:pStyle w:val="9"/>
            <w:tabs>
              <w:tab w:val="right" w:leader="dot" w:pos="8250"/>
            </w:tabs>
            <w:rPr>
              <w:sz w:val="28"/>
              <w:szCs w:val="24"/>
            </w:rPr>
          </w:pPr>
          <w:r>
            <w:rPr>
              <w:sz w:val="28"/>
              <w:szCs w:val="24"/>
            </w:rPr>
            <w:fldChar w:fldCharType="begin"/>
          </w:r>
          <w:r>
            <w:rPr>
              <w:sz w:val="28"/>
              <w:szCs w:val="24"/>
            </w:rPr>
            <w:instrText xml:space="preserve"> HYPERLINK \l _Toc28207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rFonts w:hint="eastAsia"/>
              <w:sz w:val="28"/>
              <w:szCs w:val="24"/>
              <w:lang w:val="en-US" w:eastAsia="zh-CN"/>
            </w:rPr>
            <w:t>1</w:t>
          </w:r>
          <w:r>
            <w:rPr>
              <w:sz w:val="28"/>
              <w:szCs w:val="24"/>
            </w:rPr>
            <w:fldChar w:fldCharType="end"/>
          </w:r>
        </w:p>
        <w:p w14:paraId="2C25F2C3">
          <w:pPr>
            <w:pStyle w:val="9"/>
            <w:tabs>
              <w:tab w:val="right" w:leader="dot" w:pos="8250"/>
            </w:tabs>
            <w:rPr>
              <w:sz w:val="28"/>
              <w:szCs w:val="24"/>
            </w:rPr>
          </w:pPr>
          <w:r>
            <w:rPr>
              <w:sz w:val="28"/>
              <w:szCs w:val="24"/>
            </w:rPr>
            <w:fldChar w:fldCharType="begin"/>
          </w:r>
          <w:r>
            <w:rPr>
              <w:sz w:val="28"/>
              <w:szCs w:val="24"/>
            </w:rPr>
            <w:instrText xml:space="preserve"> HYPERLINK \l _Toc30589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_Toc30589 \h </w:instrText>
          </w:r>
          <w:r>
            <w:rPr>
              <w:sz w:val="28"/>
              <w:szCs w:val="24"/>
            </w:rPr>
            <w:fldChar w:fldCharType="separate"/>
          </w:r>
          <w:r>
            <w:rPr>
              <w:sz w:val="28"/>
              <w:szCs w:val="24"/>
            </w:rPr>
            <w:t>1</w:t>
          </w:r>
          <w:r>
            <w:rPr>
              <w:sz w:val="28"/>
              <w:szCs w:val="24"/>
            </w:rPr>
            <w:fldChar w:fldCharType="end"/>
          </w:r>
          <w:r>
            <w:rPr>
              <w:sz w:val="28"/>
              <w:szCs w:val="24"/>
            </w:rPr>
            <w:fldChar w:fldCharType="end"/>
          </w:r>
        </w:p>
        <w:p w14:paraId="32949AF9">
          <w:pPr>
            <w:pStyle w:val="10"/>
            <w:tabs>
              <w:tab w:val="right" w:leader="dot" w:pos="8250"/>
            </w:tabs>
            <w:rPr>
              <w:sz w:val="28"/>
              <w:szCs w:val="24"/>
            </w:rPr>
          </w:pPr>
          <w:r>
            <w:rPr>
              <w:sz w:val="28"/>
              <w:szCs w:val="24"/>
            </w:rPr>
            <w:fldChar w:fldCharType="begin"/>
          </w:r>
          <w:r>
            <w:rPr>
              <w:sz w:val="28"/>
              <w:szCs w:val="24"/>
            </w:rPr>
            <w:instrText xml:space="preserve"> HYPERLINK \l _Toc20050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_Toc20050 \h </w:instrText>
          </w:r>
          <w:r>
            <w:rPr>
              <w:sz w:val="28"/>
              <w:szCs w:val="24"/>
            </w:rPr>
            <w:fldChar w:fldCharType="separate"/>
          </w:r>
          <w:r>
            <w:rPr>
              <w:sz w:val="28"/>
              <w:szCs w:val="24"/>
            </w:rPr>
            <w:t>1</w:t>
          </w:r>
          <w:r>
            <w:rPr>
              <w:sz w:val="28"/>
              <w:szCs w:val="24"/>
            </w:rPr>
            <w:fldChar w:fldCharType="end"/>
          </w:r>
          <w:r>
            <w:rPr>
              <w:sz w:val="28"/>
              <w:szCs w:val="24"/>
            </w:rPr>
            <w:fldChar w:fldCharType="end"/>
          </w:r>
        </w:p>
        <w:p w14:paraId="08B9C991">
          <w:pPr>
            <w:pStyle w:val="10"/>
            <w:tabs>
              <w:tab w:val="right" w:leader="dot" w:pos="8250"/>
            </w:tabs>
            <w:rPr>
              <w:sz w:val="28"/>
              <w:szCs w:val="24"/>
            </w:rPr>
          </w:pPr>
          <w:r>
            <w:rPr>
              <w:sz w:val="28"/>
              <w:szCs w:val="24"/>
            </w:rPr>
            <w:fldChar w:fldCharType="begin"/>
          </w:r>
          <w:r>
            <w:rPr>
              <w:sz w:val="28"/>
              <w:szCs w:val="24"/>
            </w:rPr>
            <w:instrText xml:space="preserve"> HYPERLINK \l _Toc27718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_Toc27718 \h </w:instrText>
          </w:r>
          <w:r>
            <w:rPr>
              <w:sz w:val="28"/>
              <w:szCs w:val="24"/>
            </w:rPr>
            <w:fldChar w:fldCharType="separate"/>
          </w:r>
          <w:r>
            <w:rPr>
              <w:sz w:val="28"/>
              <w:szCs w:val="24"/>
            </w:rPr>
            <w:t>2</w:t>
          </w:r>
          <w:r>
            <w:rPr>
              <w:sz w:val="28"/>
              <w:szCs w:val="24"/>
            </w:rPr>
            <w:fldChar w:fldCharType="end"/>
          </w:r>
          <w:r>
            <w:rPr>
              <w:sz w:val="28"/>
              <w:szCs w:val="24"/>
            </w:rPr>
            <w:fldChar w:fldCharType="end"/>
          </w:r>
        </w:p>
        <w:p w14:paraId="29DCB7A7">
          <w:pPr>
            <w:pStyle w:val="9"/>
            <w:tabs>
              <w:tab w:val="right" w:leader="dot" w:pos="8250"/>
            </w:tabs>
            <w:rPr>
              <w:sz w:val="28"/>
              <w:szCs w:val="24"/>
            </w:rPr>
          </w:pPr>
          <w:r>
            <w:rPr>
              <w:sz w:val="28"/>
              <w:szCs w:val="24"/>
            </w:rPr>
            <w:fldChar w:fldCharType="begin"/>
          </w:r>
          <w:r>
            <w:rPr>
              <w:sz w:val="28"/>
              <w:szCs w:val="24"/>
            </w:rPr>
            <w:instrText xml:space="preserve"> HYPERLINK \l _Toc31489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_Toc31489 \h </w:instrText>
          </w:r>
          <w:r>
            <w:rPr>
              <w:sz w:val="28"/>
              <w:szCs w:val="24"/>
            </w:rPr>
            <w:fldChar w:fldCharType="separate"/>
          </w:r>
          <w:r>
            <w:rPr>
              <w:sz w:val="28"/>
              <w:szCs w:val="24"/>
            </w:rPr>
            <w:t>3</w:t>
          </w:r>
          <w:r>
            <w:rPr>
              <w:sz w:val="28"/>
              <w:szCs w:val="24"/>
            </w:rPr>
            <w:fldChar w:fldCharType="end"/>
          </w:r>
          <w:r>
            <w:rPr>
              <w:sz w:val="28"/>
              <w:szCs w:val="24"/>
            </w:rPr>
            <w:fldChar w:fldCharType="end"/>
          </w:r>
        </w:p>
        <w:p w14:paraId="4CC8C0FA">
          <w:pPr>
            <w:pStyle w:val="10"/>
            <w:tabs>
              <w:tab w:val="right" w:leader="dot" w:pos="8250"/>
            </w:tabs>
            <w:rPr>
              <w:sz w:val="28"/>
              <w:szCs w:val="24"/>
            </w:rPr>
          </w:pPr>
          <w:r>
            <w:rPr>
              <w:sz w:val="28"/>
              <w:szCs w:val="24"/>
            </w:rPr>
            <w:fldChar w:fldCharType="begin"/>
          </w:r>
          <w:r>
            <w:rPr>
              <w:sz w:val="28"/>
              <w:szCs w:val="24"/>
            </w:rPr>
            <w:instrText xml:space="preserve"> HYPERLINK \l _Toc25917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_Toc25917 \h </w:instrText>
          </w:r>
          <w:r>
            <w:rPr>
              <w:sz w:val="28"/>
              <w:szCs w:val="24"/>
            </w:rPr>
            <w:fldChar w:fldCharType="separate"/>
          </w:r>
          <w:r>
            <w:rPr>
              <w:sz w:val="28"/>
              <w:szCs w:val="24"/>
            </w:rPr>
            <w:t>3</w:t>
          </w:r>
          <w:r>
            <w:rPr>
              <w:sz w:val="28"/>
              <w:szCs w:val="24"/>
            </w:rPr>
            <w:fldChar w:fldCharType="end"/>
          </w:r>
          <w:r>
            <w:rPr>
              <w:sz w:val="28"/>
              <w:szCs w:val="24"/>
            </w:rPr>
            <w:fldChar w:fldCharType="end"/>
          </w:r>
        </w:p>
        <w:p w14:paraId="5334B3A5">
          <w:pPr>
            <w:pStyle w:val="10"/>
            <w:tabs>
              <w:tab w:val="right" w:leader="dot" w:pos="8250"/>
            </w:tabs>
            <w:rPr>
              <w:sz w:val="28"/>
              <w:szCs w:val="24"/>
            </w:rPr>
          </w:pPr>
          <w:r>
            <w:rPr>
              <w:sz w:val="28"/>
              <w:szCs w:val="24"/>
            </w:rPr>
            <w:fldChar w:fldCharType="begin"/>
          </w:r>
          <w:r>
            <w:rPr>
              <w:sz w:val="28"/>
              <w:szCs w:val="24"/>
            </w:rPr>
            <w:instrText xml:space="preserve"> HYPERLINK \l _Toc12978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_Toc12978 \h </w:instrText>
          </w:r>
          <w:r>
            <w:rPr>
              <w:sz w:val="28"/>
              <w:szCs w:val="24"/>
            </w:rPr>
            <w:fldChar w:fldCharType="separate"/>
          </w:r>
          <w:r>
            <w:rPr>
              <w:sz w:val="28"/>
              <w:szCs w:val="24"/>
            </w:rPr>
            <w:t>3</w:t>
          </w:r>
          <w:r>
            <w:rPr>
              <w:sz w:val="28"/>
              <w:szCs w:val="24"/>
            </w:rPr>
            <w:fldChar w:fldCharType="end"/>
          </w:r>
          <w:r>
            <w:rPr>
              <w:sz w:val="28"/>
              <w:szCs w:val="24"/>
            </w:rPr>
            <w:fldChar w:fldCharType="end"/>
          </w:r>
        </w:p>
        <w:p w14:paraId="11C3D952">
          <w:pPr>
            <w:pStyle w:val="10"/>
            <w:tabs>
              <w:tab w:val="right" w:leader="dot" w:pos="8250"/>
            </w:tabs>
            <w:rPr>
              <w:sz w:val="28"/>
              <w:szCs w:val="24"/>
            </w:rPr>
          </w:pPr>
          <w:r>
            <w:rPr>
              <w:sz w:val="28"/>
              <w:szCs w:val="24"/>
            </w:rPr>
            <w:fldChar w:fldCharType="begin"/>
          </w:r>
          <w:r>
            <w:rPr>
              <w:sz w:val="28"/>
              <w:szCs w:val="24"/>
            </w:rPr>
            <w:instrText xml:space="preserve"> HYPERLINK \l _Toc30600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_Toc30600 \h </w:instrText>
          </w:r>
          <w:r>
            <w:rPr>
              <w:sz w:val="28"/>
              <w:szCs w:val="24"/>
            </w:rPr>
            <w:fldChar w:fldCharType="separate"/>
          </w:r>
          <w:r>
            <w:rPr>
              <w:sz w:val="28"/>
              <w:szCs w:val="24"/>
            </w:rPr>
            <w:t>6</w:t>
          </w:r>
          <w:r>
            <w:rPr>
              <w:sz w:val="28"/>
              <w:szCs w:val="24"/>
            </w:rPr>
            <w:fldChar w:fldCharType="end"/>
          </w:r>
          <w:r>
            <w:rPr>
              <w:sz w:val="28"/>
              <w:szCs w:val="24"/>
            </w:rPr>
            <w:fldChar w:fldCharType="end"/>
          </w:r>
        </w:p>
        <w:p w14:paraId="37259227">
          <w:pPr>
            <w:pStyle w:val="9"/>
            <w:tabs>
              <w:tab w:val="right" w:leader="dot" w:pos="8250"/>
            </w:tabs>
            <w:rPr>
              <w:sz w:val="28"/>
              <w:szCs w:val="24"/>
            </w:rPr>
          </w:pPr>
          <w:r>
            <w:rPr>
              <w:sz w:val="28"/>
              <w:szCs w:val="24"/>
            </w:rPr>
            <w:fldChar w:fldCharType="begin"/>
          </w:r>
          <w:r>
            <w:rPr>
              <w:sz w:val="28"/>
              <w:szCs w:val="24"/>
            </w:rPr>
            <w:instrText xml:space="preserve"> HYPERLINK \l _Toc27733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_Toc27733 \h </w:instrText>
          </w:r>
          <w:r>
            <w:rPr>
              <w:sz w:val="28"/>
              <w:szCs w:val="24"/>
            </w:rPr>
            <w:fldChar w:fldCharType="separate"/>
          </w:r>
          <w:r>
            <w:rPr>
              <w:sz w:val="28"/>
              <w:szCs w:val="24"/>
            </w:rPr>
            <w:t>9</w:t>
          </w:r>
          <w:r>
            <w:rPr>
              <w:sz w:val="28"/>
              <w:szCs w:val="24"/>
            </w:rPr>
            <w:fldChar w:fldCharType="end"/>
          </w:r>
          <w:r>
            <w:rPr>
              <w:sz w:val="28"/>
              <w:szCs w:val="24"/>
            </w:rPr>
            <w:fldChar w:fldCharType="end"/>
          </w:r>
        </w:p>
        <w:p w14:paraId="2FBE48F0">
          <w:pPr>
            <w:pStyle w:val="9"/>
            <w:tabs>
              <w:tab w:val="right" w:leader="dot" w:pos="8250"/>
            </w:tabs>
            <w:rPr>
              <w:sz w:val="28"/>
              <w:szCs w:val="24"/>
            </w:rPr>
          </w:pPr>
          <w:r>
            <w:rPr>
              <w:sz w:val="28"/>
              <w:szCs w:val="24"/>
            </w:rPr>
            <w:fldChar w:fldCharType="begin"/>
          </w:r>
          <w:r>
            <w:rPr>
              <w:sz w:val="28"/>
              <w:szCs w:val="24"/>
            </w:rPr>
            <w:instrText xml:space="preserve"> HYPERLINK \l _Toc9011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_Toc9011 \h </w:instrText>
          </w:r>
          <w:r>
            <w:rPr>
              <w:sz w:val="28"/>
              <w:szCs w:val="24"/>
            </w:rPr>
            <w:fldChar w:fldCharType="separate"/>
          </w:r>
          <w:r>
            <w:rPr>
              <w:sz w:val="28"/>
              <w:szCs w:val="24"/>
            </w:rPr>
            <w:t>9</w:t>
          </w:r>
          <w:r>
            <w:rPr>
              <w:sz w:val="28"/>
              <w:szCs w:val="24"/>
            </w:rPr>
            <w:fldChar w:fldCharType="end"/>
          </w:r>
          <w:r>
            <w:rPr>
              <w:sz w:val="28"/>
              <w:szCs w:val="24"/>
            </w:rPr>
            <w:fldChar w:fldCharType="end"/>
          </w:r>
        </w:p>
        <w:p w14:paraId="7F9F5A14">
          <w:pPr>
            <w:pStyle w:val="10"/>
            <w:tabs>
              <w:tab w:val="right" w:leader="dot" w:pos="8250"/>
            </w:tabs>
            <w:rPr>
              <w:sz w:val="28"/>
              <w:szCs w:val="24"/>
            </w:rPr>
          </w:pPr>
          <w:r>
            <w:rPr>
              <w:sz w:val="28"/>
              <w:szCs w:val="24"/>
            </w:rPr>
            <w:fldChar w:fldCharType="begin"/>
          </w:r>
          <w:r>
            <w:rPr>
              <w:sz w:val="28"/>
              <w:szCs w:val="24"/>
            </w:rPr>
            <w:instrText xml:space="preserve"> HYPERLINK \l _Toc24889 </w:instrText>
          </w:r>
          <w:r>
            <w:rPr>
              <w:sz w:val="28"/>
              <w:szCs w:val="24"/>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_Toc24889 \h </w:instrText>
          </w:r>
          <w:r>
            <w:rPr>
              <w:sz w:val="28"/>
              <w:szCs w:val="24"/>
            </w:rPr>
            <w:fldChar w:fldCharType="separate"/>
          </w:r>
          <w:r>
            <w:rPr>
              <w:sz w:val="28"/>
              <w:szCs w:val="24"/>
            </w:rPr>
            <w:t>9</w:t>
          </w:r>
          <w:r>
            <w:rPr>
              <w:sz w:val="28"/>
              <w:szCs w:val="24"/>
            </w:rPr>
            <w:fldChar w:fldCharType="end"/>
          </w:r>
          <w:r>
            <w:rPr>
              <w:sz w:val="28"/>
              <w:szCs w:val="24"/>
            </w:rPr>
            <w:fldChar w:fldCharType="end"/>
          </w:r>
        </w:p>
        <w:p w14:paraId="75DAA345">
          <w:pPr>
            <w:pStyle w:val="10"/>
            <w:tabs>
              <w:tab w:val="right" w:leader="dot" w:pos="8250"/>
            </w:tabs>
            <w:rPr>
              <w:sz w:val="28"/>
              <w:szCs w:val="24"/>
            </w:rPr>
          </w:pPr>
          <w:r>
            <w:rPr>
              <w:sz w:val="28"/>
              <w:szCs w:val="24"/>
            </w:rPr>
            <w:fldChar w:fldCharType="begin"/>
          </w:r>
          <w:r>
            <w:rPr>
              <w:sz w:val="28"/>
              <w:szCs w:val="24"/>
            </w:rPr>
            <w:instrText xml:space="preserve"> HYPERLINK \l _Toc22523 </w:instrText>
          </w:r>
          <w:r>
            <w:rPr>
              <w:sz w:val="28"/>
              <w:szCs w:val="24"/>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_Toc22523 \h </w:instrText>
          </w:r>
          <w:r>
            <w:rPr>
              <w:sz w:val="28"/>
              <w:szCs w:val="24"/>
            </w:rPr>
            <w:fldChar w:fldCharType="separate"/>
          </w:r>
          <w:r>
            <w:rPr>
              <w:sz w:val="28"/>
              <w:szCs w:val="24"/>
            </w:rPr>
            <w:t>13</w:t>
          </w:r>
          <w:r>
            <w:rPr>
              <w:sz w:val="28"/>
              <w:szCs w:val="24"/>
            </w:rPr>
            <w:fldChar w:fldCharType="end"/>
          </w:r>
          <w:r>
            <w:rPr>
              <w:sz w:val="28"/>
              <w:szCs w:val="24"/>
            </w:rPr>
            <w:fldChar w:fldCharType="end"/>
          </w:r>
        </w:p>
        <w:p w14:paraId="32B6F484">
          <w:pPr>
            <w:pStyle w:val="10"/>
            <w:tabs>
              <w:tab w:val="right" w:leader="dot" w:pos="8250"/>
            </w:tabs>
            <w:rPr>
              <w:sz w:val="28"/>
              <w:szCs w:val="24"/>
            </w:rPr>
          </w:pPr>
          <w:r>
            <w:rPr>
              <w:sz w:val="28"/>
              <w:szCs w:val="24"/>
            </w:rPr>
            <w:fldChar w:fldCharType="begin"/>
          </w:r>
          <w:r>
            <w:rPr>
              <w:sz w:val="28"/>
              <w:szCs w:val="24"/>
            </w:rPr>
            <w:instrText xml:space="preserve"> HYPERLINK \l _Toc5927 </w:instrText>
          </w:r>
          <w:r>
            <w:rPr>
              <w:sz w:val="28"/>
              <w:szCs w:val="24"/>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_Toc5927 \h </w:instrText>
          </w:r>
          <w:r>
            <w:rPr>
              <w:sz w:val="28"/>
              <w:szCs w:val="24"/>
            </w:rPr>
            <w:fldChar w:fldCharType="separate"/>
          </w:r>
          <w:r>
            <w:rPr>
              <w:sz w:val="28"/>
              <w:szCs w:val="24"/>
            </w:rPr>
            <w:t>14</w:t>
          </w:r>
          <w:r>
            <w:rPr>
              <w:sz w:val="28"/>
              <w:szCs w:val="24"/>
            </w:rPr>
            <w:fldChar w:fldCharType="end"/>
          </w:r>
          <w:r>
            <w:rPr>
              <w:sz w:val="28"/>
              <w:szCs w:val="24"/>
            </w:rPr>
            <w:fldChar w:fldCharType="end"/>
          </w:r>
        </w:p>
        <w:p w14:paraId="5795ADE7">
          <w:pPr>
            <w:pStyle w:val="10"/>
            <w:tabs>
              <w:tab w:val="right" w:leader="dot" w:pos="8250"/>
            </w:tabs>
            <w:rPr>
              <w:sz w:val="28"/>
              <w:szCs w:val="24"/>
            </w:rPr>
          </w:pPr>
          <w:r>
            <w:rPr>
              <w:sz w:val="28"/>
              <w:szCs w:val="24"/>
            </w:rPr>
            <w:fldChar w:fldCharType="begin"/>
          </w:r>
          <w:r>
            <w:rPr>
              <w:sz w:val="28"/>
              <w:szCs w:val="24"/>
            </w:rPr>
            <w:instrText xml:space="preserve"> HYPERLINK \l _Toc3452 </w:instrText>
          </w:r>
          <w:r>
            <w:rPr>
              <w:sz w:val="28"/>
              <w:szCs w:val="24"/>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_Toc3452 \h </w:instrText>
          </w:r>
          <w:r>
            <w:rPr>
              <w:sz w:val="28"/>
              <w:szCs w:val="24"/>
            </w:rPr>
            <w:fldChar w:fldCharType="separate"/>
          </w:r>
          <w:r>
            <w:rPr>
              <w:sz w:val="28"/>
              <w:szCs w:val="24"/>
            </w:rPr>
            <w:t>16</w:t>
          </w:r>
          <w:r>
            <w:rPr>
              <w:sz w:val="28"/>
              <w:szCs w:val="24"/>
            </w:rPr>
            <w:fldChar w:fldCharType="end"/>
          </w:r>
          <w:r>
            <w:rPr>
              <w:sz w:val="28"/>
              <w:szCs w:val="24"/>
            </w:rPr>
            <w:fldChar w:fldCharType="end"/>
          </w:r>
        </w:p>
        <w:p w14:paraId="5DE2F29F">
          <w:pPr>
            <w:pStyle w:val="9"/>
            <w:tabs>
              <w:tab w:val="right" w:leader="dot" w:pos="8250"/>
            </w:tabs>
            <w:rPr>
              <w:sz w:val="28"/>
              <w:szCs w:val="24"/>
            </w:rPr>
          </w:pPr>
          <w:r>
            <w:rPr>
              <w:sz w:val="28"/>
              <w:szCs w:val="24"/>
            </w:rPr>
            <w:fldChar w:fldCharType="begin"/>
          </w:r>
          <w:r>
            <w:rPr>
              <w:sz w:val="28"/>
              <w:szCs w:val="24"/>
            </w:rPr>
            <w:instrText xml:space="preserve"> HYPERLINK \l _Toc29790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_Toc29790 \h </w:instrText>
          </w:r>
          <w:r>
            <w:rPr>
              <w:sz w:val="28"/>
              <w:szCs w:val="24"/>
            </w:rPr>
            <w:fldChar w:fldCharType="separate"/>
          </w:r>
          <w:r>
            <w:rPr>
              <w:sz w:val="28"/>
              <w:szCs w:val="24"/>
            </w:rPr>
            <w:t>16</w:t>
          </w:r>
          <w:r>
            <w:rPr>
              <w:sz w:val="28"/>
              <w:szCs w:val="24"/>
            </w:rPr>
            <w:fldChar w:fldCharType="end"/>
          </w:r>
          <w:r>
            <w:rPr>
              <w:sz w:val="28"/>
              <w:szCs w:val="24"/>
            </w:rPr>
            <w:fldChar w:fldCharType="end"/>
          </w:r>
        </w:p>
        <w:p w14:paraId="680D7993">
          <w:pPr>
            <w:pStyle w:val="10"/>
            <w:tabs>
              <w:tab w:val="right" w:leader="dot" w:pos="8250"/>
            </w:tabs>
            <w:rPr>
              <w:sz w:val="28"/>
              <w:szCs w:val="24"/>
            </w:rPr>
          </w:pPr>
          <w:r>
            <w:rPr>
              <w:sz w:val="28"/>
              <w:szCs w:val="24"/>
            </w:rPr>
            <w:fldChar w:fldCharType="begin"/>
          </w:r>
          <w:r>
            <w:rPr>
              <w:sz w:val="28"/>
              <w:szCs w:val="24"/>
            </w:rPr>
            <w:instrText xml:space="preserve"> HYPERLINK \l _Toc29128 </w:instrText>
          </w:r>
          <w:r>
            <w:rPr>
              <w:sz w:val="28"/>
              <w:szCs w:val="24"/>
            </w:rPr>
            <w:fldChar w:fldCharType="separate"/>
          </w:r>
          <w:r>
            <w:rPr>
              <w:rFonts w:hint="eastAsia" w:ascii="楷体_GB2312" w:hAnsi="楷体_GB2312" w:eastAsia="楷体_GB2312" w:cs="楷体_GB2312"/>
              <w:bCs/>
              <w:kern w:val="0"/>
              <w:sz w:val="28"/>
              <w:szCs w:val="44"/>
            </w:rPr>
            <w:t>（</w:t>
          </w:r>
          <w:r>
            <w:rPr>
              <w:rFonts w:hint="eastAsia" w:ascii="楷体_GB2312" w:hAnsi="楷体_GB2312" w:eastAsia="楷体_GB2312" w:cs="楷体_GB2312"/>
              <w:bCs/>
              <w:kern w:val="0"/>
              <w:sz w:val="28"/>
              <w:szCs w:val="44"/>
              <w:lang w:val="en-US" w:eastAsia="zh-CN"/>
            </w:rPr>
            <w:t>一</w:t>
          </w:r>
          <w:r>
            <w:rPr>
              <w:rFonts w:hint="eastAsia" w:ascii="楷体_GB2312" w:hAnsi="楷体_GB2312" w:eastAsia="楷体_GB2312" w:cs="楷体_GB2312"/>
              <w:bCs/>
              <w:kern w:val="0"/>
              <w:sz w:val="28"/>
              <w:szCs w:val="44"/>
            </w:rPr>
            <w:t>）项目未制定相关的财务和业务管理制度</w:t>
          </w:r>
          <w:r>
            <w:rPr>
              <w:sz w:val="28"/>
              <w:szCs w:val="24"/>
            </w:rPr>
            <w:tab/>
          </w:r>
          <w:r>
            <w:rPr>
              <w:sz w:val="28"/>
              <w:szCs w:val="24"/>
            </w:rPr>
            <w:fldChar w:fldCharType="begin"/>
          </w:r>
          <w:r>
            <w:rPr>
              <w:sz w:val="28"/>
              <w:szCs w:val="24"/>
            </w:rPr>
            <w:instrText xml:space="preserve"> PAGEREF _Toc29128 \h </w:instrText>
          </w:r>
          <w:r>
            <w:rPr>
              <w:sz w:val="28"/>
              <w:szCs w:val="24"/>
            </w:rPr>
            <w:fldChar w:fldCharType="separate"/>
          </w:r>
          <w:r>
            <w:rPr>
              <w:sz w:val="28"/>
              <w:szCs w:val="24"/>
            </w:rPr>
            <w:t>16</w:t>
          </w:r>
          <w:r>
            <w:rPr>
              <w:sz w:val="28"/>
              <w:szCs w:val="24"/>
            </w:rPr>
            <w:fldChar w:fldCharType="end"/>
          </w:r>
          <w:r>
            <w:rPr>
              <w:sz w:val="28"/>
              <w:szCs w:val="24"/>
            </w:rPr>
            <w:fldChar w:fldCharType="end"/>
          </w:r>
        </w:p>
        <w:p w14:paraId="150B1BD3">
          <w:pPr>
            <w:pStyle w:val="10"/>
            <w:tabs>
              <w:tab w:val="right" w:leader="dot" w:pos="8250"/>
            </w:tabs>
            <w:rPr>
              <w:sz w:val="28"/>
              <w:szCs w:val="24"/>
            </w:rPr>
          </w:pPr>
          <w:r>
            <w:rPr>
              <w:sz w:val="28"/>
              <w:szCs w:val="24"/>
            </w:rPr>
            <w:fldChar w:fldCharType="begin"/>
          </w:r>
          <w:r>
            <w:rPr>
              <w:sz w:val="28"/>
              <w:szCs w:val="24"/>
            </w:rPr>
            <w:instrText xml:space="preserve"> HYPERLINK \l _Toc29772 </w:instrText>
          </w:r>
          <w:r>
            <w:rPr>
              <w:sz w:val="28"/>
              <w:szCs w:val="24"/>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二）项目自评表没有打分</w:t>
          </w:r>
          <w:r>
            <w:rPr>
              <w:sz w:val="28"/>
              <w:szCs w:val="24"/>
            </w:rPr>
            <w:tab/>
          </w:r>
          <w:r>
            <w:rPr>
              <w:sz w:val="28"/>
              <w:szCs w:val="24"/>
            </w:rPr>
            <w:fldChar w:fldCharType="begin"/>
          </w:r>
          <w:r>
            <w:rPr>
              <w:sz w:val="28"/>
              <w:szCs w:val="24"/>
            </w:rPr>
            <w:instrText xml:space="preserve"> PAGEREF _Toc29772 \h </w:instrText>
          </w:r>
          <w:r>
            <w:rPr>
              <w:sz w:val="28"/>
              <w:szCs w:val="24"/>
            </w:rPr>
            <w:fldChar w:fldCharType="separate"/>
          </w:r>
          <w:r>
            <w:rPr>
              <w:sz w:val="28"/>
              <w:szCs w:val="24"/>
            </w:rPr>
            <w:t>16</w:t>
          </w:r>
          <w:r>
            <w:rPr>
              <w:sz w:val="28"/>
              <w:szCs w:val="24"/>
            </w:rPr>
            <w:fldChar w:fldCharType="end"/>
          </w:r>
          <w:r>
            <w:rPr>
              <w:sz w:val="28"/>
              <w:szCs w:val="24"/>
            </w:rPr>
            <w:fldChar w:fldCharType="end"/>
          </w:r>
        </w:p>
        <w:p w14:paraId="1E07AC29">
          <w:pPr>
            <w:pStyle w:val="9"/>
            <w:tabs>
              <w:tab w:val="right" w:leader="dot" w:pos="8250"/>
            </w:tabs>
            <w:rPr>
              <w:sz w:val="28"/>
              <w:szCs w:val="24"/>
            </w:rPr>
          </w:pPr>
          <w:r>
            <w:rPr>
              <w:sz w:val="28"/>
              <w:szCs w:val="24"/>
            </w:rPr>
            <w:fldChar w:fldCharType="begin"/>
          </w:r>
          <w:r>
            <w:rPr>
              <w:sz w:val="28"/>
              <w:szCs w:val="24"/>
            </w:rPr>
            <w:instrText xml:space="preserve"> HYPERLINK \l _Toc2475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_Toc2475 \h </w:instrText>
          </w:r>
          <w:r>
            <w:rPr>
              <w:sz w:val="28"/>
              <w:szCs w:val="24"/>
            </w:rPr>
            <w:fldChar w:fldCharType="separate"/>
          </w:r>
          <w:r>
            <w:rPr>
              <w:sz w:val="28"/>
              <w:szCs w:val="24"/>
            </w:rPr>
            <w:t>16</w:t>
          </w:r>
          <w:r>
            <w:rPr>
              <w:sz w:val="28"/>
              <w:szCs w:val="24"/>
            </w:rPr>
            <w:fldChar w:fldCharType="end"/>
          </w:r>
          <w:r>
            <w:rPr>
              <w:sz w:val="28"/>
              <w:szCs w:val="24"/>
            </w:rPr>
            <w:fldChar w:fldCharType="end"/>
          </w:r>
        </w:p>
        <w:p w14:paraId="4A6B4893">
          <w:pPr>
            <w:pStyle w:val="10"/>
            <w:tabs>
              <w:tab w:val="right" w:leader="dot" w:pos="8250"/>
            </w:tabs>
            <w:rPr>
              <w:sz w:val="28"/>
              <w:szCs w:val="24"/>
            </w:rPr>
          </w:pPr>
          <w:r>
            <w:rPr>
              <w:sz w:val="28"/>
              <w:szCs w:val="24"/>
            </w:rPr>
            <w:fldChar w:fldCharType="begin"/>
          </w:r>
          <w:r>
            <w:rPr>
              <w:sz w:val="28"/>
              <w:szCs w:val="24"/>
            </w:rPr>
            <w:instrText xml:space="preserve"> HYPERLINK \l _Toc2876 </w:instrText>
          </w:r>
          <w:r>
            <w:rPr>
              <w:sz w:val="28"/>
              <w:szCs w:val="24"/>
            </w:rPr>
            <w:fldChar w:fldCharType="separate"/>
          </w:r>
          <w:r>
            <w:rPr>
              <w:rFonts w:hint="eastAsia" w:ascii="楷体_GB2312" w:hAnsi="楷体_GB2312" w:eastAsia="楷体_GB2312" w:cs="楷体_GB2312"/>
              <w:bCs/>
              <w:kern w:val="0"/>
              <w:sz w:val="28"/>
              <w:szCs w:val="44"/>
            </w:rPr>
            <w:t>（</w:t>
          </w:r>
          <w:r>
            <w:rPr>
              <w:rFonts w:hint="eastAsia" w:ascii="楷体_GB2312" w:hAnsi="楷体_GB2312" w:eastAsia="楷体_GB2312" w:cs="楷体_GB2312"/>
              <w:bCs/>
              <w:kern w:val="0"/>
              <w:sz w:val="28"/>
              <w:szCs w:val="44"/>
              <w:lang w:val="en-US" w:eastAsia="zh-CN"/>
            </w:rPr>
            <w:t>一</w:t>
          </w:r>
          <w:r>
            <w:rPr>
              <w:rFonts w:hint="eastAsia" w:ascii="楷体_GB2312" w:hAnsi="楷体_GB2312" w:eastAsia="楷体_GB2312" w:cs="楷体_GB2312"/>
              <w:bCs/>
              <w:kern w:val="0"/>
              <w:sz w:val="28"/>
              <w:szCs w:val="44"/>
            </w:rPr>
            <w:t>）制定有关制度，加强绩效管理</w:t>
          </w:r>
          <w:r>
            <w:rPr>
              <w:sz w:val="28"/>
              <w:szCs w:val="24"/>
            </w:rPr>
            <w:tab/>
          </w:r>
          <w:r>
            <w:rPr>
              <w:sz w:val="28"/>
              <w:szCs w:val="24"/>
            </w:rPr>
            <w:fldChar w:fldCharType="begin"/>
          </w:r>
          <w:r>
            <w:rPr>
              <w:sz w:val="28"/>
              <w:szCs w:val="24"/>
            </w:rPr>
            <w:instrText xml:space="preserve"> PAGEREF _Toc2876 \h </w:instrText>
          </w:r>
          <w:r>
            <w:rPr>
              <w:sz w:val="28"/>
              <w:szCs w:val="24"/>
            </w:rPr>
            <w:fldChar w:fldCharType="separate"/>
          </w:r>
          <w:r>
            <w:rPr>
              <w:sz w:val="28"/>
              <w:szCs w:val="24"/>
            </w:rPr>
            <w:t>16</w:t>
          </w:r>
          <w:r>
            <w:rPr>
              <w:sz w:val="28"/>
              <w:szCs w:val="24"/>
            </w:rPr>
            <w:fldChar w:fldCharType="end"/>
          </w:r>
          <w:r>
            <w:rPr>
              <w:sz w:val="28"/>
              <w:szCs w:val="24"/>
            </w:rPr>
            <w:fldChar w:fldCharType="end"/>
          </w:r>
        </w:p>
        <w:p w14:paraId="6B7DA058">
          <w:pPr>
            <w:pStyle w:val="10"/>
            <w:tabs>
              <w:tab w:val="right" w:leader="dot" w:pos="8250"/>
            </w:tabs>
            <w:rPr>
              <w:sz w:val="28"/>
              <w:szCs w:val="24"/>
            </w:rPr>
          </w:pPr>
          <w:r>
            <w:rPr>
              <w:sz w:val="28"/>
              <w:szCs w:val="24"/>
            </w:rPr>
            <w:fldChar w:fldCharType="begin"/>
          </w:r>
          <w:r>
            <w:rPr>
              <w:sz w:val="28"/>
              <w:szCs w:val="24"/>
            </w:rPr>
            <w:instrText xml:space="preserve"> HYPERLINK \l _Toc14382 </w:instrText>
          </w:r>
          <w:r>
            <w:rPr>
              <w:sz w:val="28"/>
              <w:szCs w:val="24"/>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二）自评表应及时打分</w:t>
          </w:r>
          <w:r>
            <w:rPr>
              <w:sz w:val="28"/>
              <w:szCs w:val="24"/>
            </w:rPr>
            <w:tab/>
          </w:r>
          <w:r>
            <w:rPr>
              <w:sz w:val="28"/>
              <w:szCs w:val="24"/>
            </w:rPr>
            <w:fldChar w:fldCharType="begin"/>
          </w:r>
          <w:r>
            <w:rPr>
              <w:sz w:val="28"/>
              <w:szCs w:val="24"/>
            </w:rPr>
            <w:instrText xml:space="preserve"> PAGEREF _Toc14382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4D9139D">
          <w:pPr>
            <w:pStyle w:val="9"/>
            <w:tabs>
              <w:tab w:val="right" w:leader="dot" w:pos="8250"/>
            </w:tabs>
            <w:rPr>
              <w:sz w:val="28"/>
              <w:szCs w:val="24"/>
            </w:rPr>
          </w:pPr>
          <w:r>
            <w:rPr>
              <w:sz w:val="28"/>
              <w:szCs w:val="24"/>
            </w:rPr>
            <w:fldChar w:fldCharType="begin"/>
          </w:r>
          <w:r>
            <w:rPr>
              <w:sz w:val="28"/>
              <w:szCs w:val="24"/>
            </w:rPr>
            <w:instrText xml:space="preserve"> HYPERLINK \l _Toc30805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件1：</w:t>
          </w:r>
          <w:r>
            <w:rPr>
              <w:rFonts w:hint="eastAsia" w:ascii="仿宋" w:hAnsi="仿宋" w:eastAsia="仿宋" w:cs="仿宋"/>
              <w:kern w:val="0"/>
              <w:sz w:val="28"/>
              <w:szCs w:val="44"/>
            </w:rPr>
            <w:t>项目绩效评价指标体系打分表</w:t>
          </w:r>
          <w:r>
            <w:rPr>
              <w:sz w:val="28"/>
              <w:szCs w:val="24"/>
            </w:rPr>
            <w:tab/>
          </w:r>
          <w:r>
            <w:rPr>
              <w:sz w:val="28"/>
              <w:szCs w:val="24"/>
            </w:rPr>
            <w:fldChar w:fldCharType="begin"/>
          </w:r>
          <w:r>
            <w:rPr>
              <w:sz w:val="28"/>
              <w:szCs w:val="24"/>
            </w:rPr>
            <w:instrText xml:space="preserve"> PAGEREF _Toc30805 \h </w:instrText>
          </w:r>
          <w:r>
            <w:rPr>
              <w:sz w:val="28"/>
              <w:szCs w:val="24"/>
            </w:rPr>
            <w:fldChar w:fldCharType="separate"/>
          </w:r>
          <w:r>
            <w:rPr>
              <w:sz w:val="28"/>
              <w:szCs w:val="24"/>
            </w:rPr>
            <w:t>17</w:t>
          </w:r>
          <w:r>
            <w:rPr>
              <w:sz w:val="28"/>
              <w:szCs w:val="24"/>
            </w:rPr>
            <w:fldChar w:fldCharType="end"/>
          </w:r>
          <w:r>
            <w:rPr>
              <w:sz w:val="28"/>
              <w:szCs w:val="24"/>
            </w:rPr>
            <w:fldChar w:fldCharType="end"/>
          </w:r>
        </w:p>
        <w:p w14:paraId="14085F4C">
          <w:pPr>
            <w:jc w:val="both"/>
          </w:pPr>
          <w:r>
            <w:rPr>
              <w:b/>
            </w:rPr>
            <w:fldChar w:fldCharType="end"/>
          </w:r>
          <w:bookmarkStart w:id="3" w:name="_Toc7428"/>
        </w:p>
      </w:sdtContent>
    </w:sdt>
    <w:p w14:paraId="73D393AD">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28207"/>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08D674EA">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依据《“十四五”现代综合交通运输体系发展规划》(国发〔2021〕27号)、《宝鸡市交通运输局2023年工作要点》有关加强交通运输信息化建设的要求，扶风县人民政府于2023年5月23日以《关于扶风县"四好农村路"信息化综合管理系统项目建设有关问题的会议纪要》（第十五次）决定实施智慧交通信息化建设项目。项目主管部门为扶风县交通运输局，由扶风县交通运输局实施。</w:t>
      </w:r>
      <w:r>
        <w:rPr>
          <w:rFonts w:hint="eastAsia" w:ascii="仿宋" w:hAnsi="仿宋" w:eastAsia="仿宋" w:cs="仿宋"/>
          <w:kern w:val="0"/>
          <w:sz w:val="32"/>
          <w:szCs w:val="32"/>
          <w:lang w:val="en-US" w:eastAsia="zh-CN"/>
        </w:rPr>
        <w:t>下达</w:t>
      </w:r>
      <w:r>
        <w:rPr>
          <w:rFonts w:hint="eastAsia" w:ascii="仿宋" w:hAnsi="仿宋" w:eastAsia="仿宋" w:cs="仿宋"/>
          <w:kern w:val="0"/>
          <w:sz w:val="32"/>
          <w:szCs w:val="32"/>
        </w:rPr>
        <w:t>项目预算资金100万元，项目到位资金100万元，项目资金支付94.98万元，结余资金5.02万元。</w:t>
      </w:r>
    </w:p>
    <w:p w14:paraId="2753640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按照确定的评分细则，对各项指标逐一评价打分，智慧交通信息化建设工作经费绩效评价得分为9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.0分，评价结果等级为“优”。</w:t>
      </w:r>
    </w:p>
    <w:p w14:paraId="48208F1C">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w:t>
      </w:r>
      <w:r>
        <w:rPr>
          <w:rFonts w:hint="eastAsia" w:ascii="仿宋" w:hAnsi="仿宋" w:eastAsia="仿宋" w:cs="仿宋"/>
          <w:kern w:val="0"/>
          <w:sz w:val="32"/>
          <w:szCs w:val="32"/>
          <w:lang w:val="en-US" w:eastAsia="zh-CN"/>
        </w:rPr>
        <w:t>①</w:t>
      </w:r>
      <w:r>
        <w:rPr>
          <w:rFonts w:hint="eastAsia" w:ascii="仿宋" w:hAnsi="仿宋" w:eastAsia="仿宋" w:cs="仿宋"/>
          <w:kern w:val="0"/>
          <w:sz w:val="32"/>
          <w:szCs w:val="32"/>
        </w:rPr>
        <w:t>项目未制定相关的财务和业务管理制度</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②项目自评表没有打分。</w:t>
      </w:r>
    </w:p>
    <w:p w14:paraId="1A80A0AF">
      <w:pPr>
        <w:spacing w:line="600" w:lineRule="exact"/>
        <w:ind w:firstLine="640" w:firstLineChars="200"/>
        <w:rPr>
          <w:rFonts w:ascii="仿宋" w:hAnsi="仿宋" w:eastAsia="仿宋" w:cs="仿宋"/>
          <w:kern w:val="0"/>
          <w:sz w:val="32"/>
          <w:szCs w:val="32"/>
        </w:rPr>
        <w:sectPr>
          <w:footerReference r:id="rId4"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6978A343">
      <w:pPr>
        <w:spacing w:line="600" w:lineRule="exact"/>
        <w:ind w:firstLine="723"/>
        <w:jc w:val="center"/>
        <w:outlineLvl w:val="9"/>
        <w:rPr>
          <w:rFonts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智慧交通信息化建设工作经费</w:t>
      </w:r>
    </w:p>
    <w:p w14:paraId="0EBBDE42">
      <w:pPr>
        <w:spacing w:line="600" w:lineRule="exact"/>
        <w:ind w:firstLine="723"/>
        <w:jc w:val="center"/>
        <w:outlineLvl w:val="9"/>
        <w:rPr>
          <w:b/>
          <w:bCs/>
        </w:rPr>
      </w:pPr>
      <w:bookmarkStart w:id="5" w:name="_Toc3207"/>
      <w:bookmarkStart w:id="6" w:name="_Toc3198"/>
      <w:r>
        <w:rPr>
          <w:rFonts w:hint="eastAsia" w:ascii="方正小标宋_GBK" w:hAnsi="方正小标宋_GBK" w:eastAsia="方正小标宋_GBK" w:cs="方正小标宋_GBK"/>
          <w:b/>
          <w:bCs/>
          <w:kern w:val="2"/>
          <w:sz w:val="36"/>
          <w:szCs w:val="36"/>
        </w:rPr>
        <w:t>绩效评价报告</w:t>
      </w:r>
      <w:bookmarkEnd w:id="5"/>
      <w:bookmarkEnd w:id="6"/>
    </w:p>
    <w:p w14:paraId="1AD7B2A5">
      <w:pPr>
        <w:spacing w:line="600" w:lineRule="exact"/>
        <w:ind w:firstLine="640" w:firstLineChars="200"/>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w:t>
      </w:r>
      <w:r>
        <w:rPr>
          <w:rFonts w:hint="eastAsia" w:ascii="仿宋" w:hAnsi="仿宋" w:eastAsia="仿宋" w:cs="仿宋"/>
          <w:kern w:val="0"/>
          <w:sz w:val="32"/>
          <w:szCs w:val="32"/>
          <w:highlight w:val="none"/>
        </w:rPr>
        <w:t>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，对智慧交通信息化建设工作经费</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进行绩效评价。现将评价情况报告如下：</w:t>
      </w:r>
    </w:p>
    <w:p w14:paraId="527AB8BE">
      <w:pPr>
        <w:spacing w:before="104" w:line="600" w:lineRule="exact"/>
        <w:ind w:firstLine="672"/>
        <w:outlineLvl w:val="0"/>
        <w:rPr>
          <w:rFonts w:ascii="黑体" w:hAnsi="黑体" w:eastAsia="黑体" w:cs="黑体"/>
          <w:spacing w:val="-2"/>
          <w:sz w:val="32"/>
          <w:szCs w:val="32"/>
        </w:rPr>
      </w:pPr>
      <w:bookmarkStart w:id="10" w:name="_Toc30589"/>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381DBAFC">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0050"/>
      <w:bookmarkStart w:id="13" w:name="_Toc22255"/>
      <w:bookmarkStart w:id="14" w:name="_Toc24850"/>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2EDE8B3E">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667CC7C0">
      <w:pPr>
        <w:spacing w:line="600" w:lineRule="exact"/>
        <w:ind w:firstLine="640" w:firstLineChars="200"/>
      </w:pPr>
      <w:r>
        <w:rPr>
          <w:rFonts w:ascii="仿宋" w:hAnsi="仿宋" w:eastAsia="仿宋" w:cs="仿宋"/>
          <w:kern w:val="0"/>
          <w:sz w:val="32"/>
          <w:szCs w:val="32"/>
        </w:rPr>
        <w:t>依据《“十四五”现代综合交通运输体系发展规划》(国发〔2021〕27号)、《宝鸡市交通运输局2023年工作要点》有关加强交通运输信息化建设的要求，扶风县人民政府于2023年5月23日以《关于扶风县</w:t>
      </w:r>
      <w:r>
        <w:rPr>
          <w:rFonts w:hint="eastAsia" w:ascii="仿宋" w:hAnsi="仿宋" w:eastAsia="仿宋" w:cs="仿宋"/>
          <w:kern w:val="0"/>
          <w:sz w:val="32"/>
          <w:szCs w:val="32"/>
          <w:lang w:eastAsia="zh-CN"/>
        </w:rPr>
        <w:t>“</w:t>
      </w:r>
      <w:r>
        <w:rPr>
          <w:rFonts w:ascii="仿宋" w:hAnsi="仿宋" w:eastAsia="仿宋" w:cs="仿宋"/>
          <w:kern w:val="0"/>
          <w:sz w:val="32"/>
          <w:szCs w:val="32"/>
        </w:rPr>
        <w:t>四好农村路</w:t>
      </w:r>
      <w:r>
        <w:rPr>
          <w:rFonts w:hint="eastAsia" w:ascii="仿宋" w:hAnsi="仿宋" w:eastAsia="仿宋" w:cs="仿宋"/>
          <w:kern w:val="0"/>
          <w:sz w:val="32"/>
          <w:szCs w:val="32"/>
          <w:lang w:eastAsia="zh-CN"/>
        </w:rPr>
        <w:t>”</w:t>
      </w:r>
      <w:r>
        <w:rPr>
          <w:rFonts w:ascii="仿宋" w:hAnsi="仿宋" w:eastAsia="仿宋" w:cs="仿宋"/>
          <w:kern w:val="0"/>
          <w:sz w:val="32"/>
          <w:szCs w:val="32"/>
        </w:rPr>
        <w:t>信息化综合管理系统项目建设有关问题的会议纪要》（第十五次）决定实施智慧交通信息化建设项目</w:t>
      </w:r>
      <w:r>
        <w:rPr>
          <w:rFonts w:hint="eastAsia" w:ascii="仿宋" w:hAnsi="仿宋" w:eastAsia="仿宋" w:cs="仿宋"/>
          <w:kern w:val="0"/>
          <w:sz w:val="32"/>
          <w:szCs w:val="32"/>
          <w:lang w:eastAsia="zh-CN"/>
        </w:rPr>
        <w:t>。</w:t>
      </w:r>
    </w:p>
    <w:p w14:paraId="351520D9">
      <w:pPr>
        <w:spacing w:line="600" w:lineRule="exact"/>
        <w:ind w:firstLine="643"/>
        <w:outlineLvl w:val="9"/>
        <w:rPr>
          <w:rFonts w:hint="eastAsia" w:ascii="仿宋" w:hAnsi="仿宋" w:cs="仿宋"/>
          <w:b/>
          <w:bCs/>
          <w:sz w:val="32"/>
          <w:szCs w:val="32"/>
        </w:rPr>
      </w:pPr>
      <w:bookmarkStart w:id="15" w:name="_Toc19838"/>
      <w:bookmarkStart w:id="16" w:name="_Toc30940"/>
      <w:bookmarkStart w:id="17" w:name="_Toc2902"/>
      <w:bookmarkStart w:id="18" w:name="_Toc5307_WPSOffice_Level2"/>
      <w:bookmarkStart w:id="19" w:name="_Toc6691"/>
      <w:bookmarkStart w:id="20" w:name="_Toc24420"/>
      <w:r>
        <w:rPr>
          <w:rFonts w:hint="eastAsia" w:ascii="仿宋" w:hAnsi="仿宋" w:cs="仿宋"/>
          <w:b/>
          <w:bCs/>
          <w:sz w:val="32"/>
          <w:szCs w:val="32"/>
        </w:rPr>
        <w:t>2.项目主要内容</w:t>
      </w:r>
    </w:p>
    <w:p w14:paraId="1E5266E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项目计划采购智慧养护综合管理信息化平台1套，配套终端智能设备10套，交通运输信息指挥中心1套。</w:t>
      </w:r>
    </w:p>
    <w:p w14:paraId="08A33E8D">
      <w:pPr>
        <w:pStyle w:val="20"/>
        <w:ind w:firstLine="640" w:firstLineChars="200"/>
        <w:rPr>
          <w:rFonts w:ascii="仿宋" w:hAnsi="仿宋" w:eastAsia="仿宋" w:cs="仿宋"/>
          <w:kern w:val="0"/>
          <w:sz w:val="32"/>
          <w:szCs w:val="32"/>
        </w:rPr>
      </w:pPr>
    </w:p>
    <w:p w14:paraId="45DDE4C2">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616FAC3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扶风县交通运输局委托万融国际项目管理有限公司通过竞争性磋商于2023年7月18日确定西安能芯智慧交通信息科技有限公司为项目的施工单位。截至评价日，项目已完成。</w:t>
      </w:r>
    </w:p>
    <w:p w14:paraId="096A511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16E88AA9">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扶风县财政局于2023年5月27日以《扶风县财政局关于下达财政预算支出指标的通知》（扶财办预〔2023〕051号）向扶风县交通运输局下达预算资金100万元。</w:t>
      </w:r>
    </w:p>
    <w:p w14:paraId="0D0DC7C4">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08618CA7">
      <w:pPr>
        <w:spacing w:line="600" w:lineRule="exact"/>
        <w:ind w:firstLine="640" w:firstLineChars="200"/>
      </w:pPr>
      <w:r>
        <w:rPr>
          <w:rFonts w:hint="eastAsia" w:ascii="仿宋" w:hAnsi="仿宋" w:eastAsia="仿宋" w:cs="仿宋"/>
          <w:kern w:val="0"/>
          <w:sz w:val="32"/>
          <w:szCs w:val="32"/>
        </w:rPr>
        <w:t>项目计划投入资金100万元，截</w:t>
      </w:r>
      <w:r>
        <w:rPr>
          <w:rFonts w:hint="eastAsia" w:ascii="仿宋" w:hAnsi="仿宋" w:eastAsia="仿宋" w:cs="仿宋"/>
          <w:kern w:val="0"/>
          <w:sz w:val="32"/>
          <w:szCs w:val="32"/>
          <w:lang w:val="en-US" w:eastAsia="zh-CN"/>
        </w:rPr>
        <w:t>至</w:t>
      </w:r>
      <w:r>
        <w:rPr>
          <w:rFonts w:hint="eastAsia" w:ascii="仿宋" w:hAnsi="仿宋" w:eastAsia="仿宋" w:cs="仿宋"/>
          <w:kern w:val="0"/>
          <w:sz w:val="32"/>
          <w:szCs w:val="32"/>
        </w:rPr>
        <w:t>评价日项目实际支出资金94.98万元。</w:t>
      </w:r>
    </w:p>
    <w:p w14:paraId="47438F39">
      <w:pPr>
        <w:spacing w:line="600" w:lineRule="exact"/>
        <w:ind w:firstLine="643" w:firstLineChars="200"/>
        <w:outlineLvl w:val="1"/>
        <w:rPr>
          <w:rFonts w:ascii="楷体" w:hAnsi="楷体" w:eastAsia="楷体" w:cs="楷体"/>
          <w:b/>
          <w:bCs/>
          <w:kern w:val="0"/>
          <w:sz w:val="32"/>
          <w:szCs w:val="32"/>
        </w:rPr>
      </w:pPr>
      <w:bookmarkStart w:id="21" w:name="_Toc27718"/>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p w14:paraId="235D6942">
      <w:pPr>
        <w:spacing w:line="600" w:lineRule="exact"/>
        <w:ind w:firstLine="640" w:firstLineChars="200"/>
        <w:rPr>
          <w:rFonts w:hint="eastAsia" w:ascii="仿宋" w:hAnsi="仿宋" w:eastAsia="仿宋" w:cs="仿宋"/>
          <w:kern w:val="0"/>
          <w:sz w:val="32"/>
          <w:szCs w:val="32"/>
        </w:rPr>
      </w:pPr>
      <w:bookmarkStart w:id="22" w:name="_Toc25596"/>
      <w:bookmarkStart w:id="23" w:name="_Toc22895"/>
      <w:bookmarkStart w:id="24" w:name="_Toc29155_WPSOffice_Level1"/>
      <w:bookmarkStart w:id="25" w:name="_Hlk2370114"/>
      <w:bookmarkStart w:id="26" w:name="_Toc28175_WPSOffice_Level1"/>
      <w:bookmarkStart w:id="27" w:name="_Toc21915"/>
      <w:bookmarkStart w:id="28" w:name="_Toc3241_WPSOffice_Level1"/>
      <w:bookmarkStart w:id="29" w:name="_Toc29537"/>
      <w:bookmarkStart w:id="30" w:name="_Toc16072"/>
      <w:bookmarkStart w:id="31" w:name="_Toc8245_WPSOffice_Level1"/>
      <w:bookmarkStart w:id="32" w:name="_Toc28206"/>
      <w:bookmarkStart w:id="33" w:name="_Toc6828_WPSOffice_Level1"/>
      <w:bookmarkStart w:id="34" w:name="_Toc18785"/>
      <w:bookmarkStart w:id="35" w:name="_Toc29074"/>
      <w:bookmarkStart w:id="36" w:name="_Toc751_WPSOffice_Level1"/>
      <w:bookmarkStart w:id="37" w:name="_Toc11420_WPSOffice_Level1"/>
      <w:bookmarkStart w:id="38" w:name="_Toc6281_WPSOffice_Level1"/>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年度总体目标</w:t>
      </w:r>
    </w:p>
    <w:p w14:paraId="746ADCFF">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计划在县交通运输局建设指挥中心、信息化平台、平交路口、弯道和坡道等安全隐患处安装高清视频监控，系统以互联网+交通为基础，围绕一个中心，两个平台</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PC端和移动端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、三大体系（智慧管养、数据监测和应急保障）为技术指导，建设多系统信息融合的综合信息运营与监测管理平台，实现农村公路管理数字化、信息化、网络化、办公自动化、服务大众化。</w:t>
      </w:r>
    </w:p>
    <w:p w14:paraId="695979FD">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项目绩效目标分解</w:t>
      </w:r>
    </w:p>
    <w:p w14:paraId="71365F7D">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（1）产出指标</w:t>
      </w:r>
    </w:p>
    <w:p w14:paraId="764B4C13">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①数量指标。1套智慧养护综合管理信息化平台、12套配套终端智能设备、1套交通指挥中心。</w:t>
      </w:r>
    </w:p>
    <w:p w14:paraId="1969E85B">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②质量指标。合格率100%。</w:t>
      </w:r>
    </w:p>
    <w:p w14:paraId="08990564">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③时效指标。2023年度。</w:t>
      </w:r>
    </w:p>
    <w:p w14:paraId="50D0A620">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④成本指标。严格控制成本，节约支出。</w:t>
      </w:r>
    </w:p>
    <w:p w14:paraId="6FD562A2">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（2）效益指标</w:t>
      </w:r>
    </w:p>
    <w:p w14:paraId="4C40FE15">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①社会效益。提高运输效率，促进交通安全。</w:t>
      </w:r>
    </w:p>
    <w:p w14:paraId="33ADAF99">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②满意度。社会公众满意度≥95%。</w:t>
      </w:r>
    </w:p>
    <w:p w14:paraId="759B4E12">
      <w:pPr>
        <w:spacing w:before="104" w:line="600" w:lineRule="exact"/>
        <w:ind w:firstLine="672"/>
        <w:outlineLvl w:val="0"/>
        <w:rPr>
          <w:rFonts w:ascii="黑体" w:hAnsi="黑体" w:eastAsia="黑体" w:cs="黑体"/>
          <w:spacing w:val="-2"/>
          <w:sz w:val="32"/>
          <w:szCs w:val="32"/>
        </w:rPr>
      </w:pPr>
      <w:bookmarkStart w:id="39" w:name="_Toc31489"/>
      <w:r>
        <w:rPr>
          <w:rFonts w:hint="eastAsia" w:ascii="黑体" w:hAnsi="黑体" w:eastAsia="黑体" w:cs="黑体"/>
          <w:spacing w:val="-2"/>
          <w:sz w:val="32"/>
          <w:szCs w:val="32"/>
        </w:rPr>
        <w:t>二、绩效评价工作开展情况</w:t>
      </w:r>
      <w:bookmarkEnd w:id="22"/>
      <w:bookmarkEnd w:id="23"/>
      <w:bookmarkEnd w:id="39"/>
      <w:bookmarkStart w:id="40" w:name="_Toc4270"/>
      <w:bookmarkStart w:id="41" w:name="_Toc1319"/>
      <w:bookmarkStart w:id="42" w:name="_Toc30013"/>
      <w:bookmarkStart w:id="43" w:name="_Toc1360"/>
    </w:p>
    <w:p w14:paraId="266843A2">
      <w:pPr>
        <w:spacing w:before="104" w:line="600" w:lineRule="exact"/>
        <w:ind w:firstLine="672"/>
        <w:outlineLvl w:val="1"/>
      </w:pPr>
      <w:bookmarkStart w:id="44" w:name="_Toc25917"/>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3C2DB47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智慧交通信息化建设工作经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57E3B7F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389ED557">
      <w:pPr>
        <w:spacing w:line="600" w:lineRule="exact"/>
        <w:ind w:firstLine="643" w:firstLineChars="200"/>
        <w:outlineLvl w:val="1"/>
        <w:rPr>
          <w:rFonts w:ascii="楷体" w:hAnsi="楷体" w:eastAsia="楷体" w:cs="楷体"/>
          <w:b/>
          <w:bCs/>
          <w:kern w:val="0"/>
          <w:sz w:val="32"/>
          <w:szCs w:val="32"/>
        </w:rPr>
      </w:pPr>
      <w:bookmarkStart w:id="45" w:name="_Toc18097"/>
      <w:bookmarkStart w:id="46" w:name="_Toc17204"/>
      <w:bookmarkStart w:id="47" w:name="_Toc14910"/>
      <w:bookmarkStart w:id="48" w:name="_Toc2196"/>
      <w:bookmarkStart w:id="49" w:name="_Toc12978"/>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0CF9387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114FD27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0E08B20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370B510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381D3EB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6A92993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6FD80BC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3A868B7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702A88B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有关</w:t>
      </w:r>
      <w:r>
        <w:rPr>
          <w:rFonts w:hint="eastAsia" w:ascii="仿宋" w:hAnsi="仿宋" w:eastAsia="仿宋" w:cs="仿宋"/>
          <w:kern w:val="0"/>
          <w:sz w:val="32"/>
          <w:szCs w:val="32"/>
        </w:rPr>
        <w:t xml:space="preserve">部门，作为有关部门以后年度安排项目预算、加强项目管理等工作的重要依据。 </w:t>
      </w:r>
    </w:p>
    <w:p w14:paraId="043681A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18C0B37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33F5E39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61F8E82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42A7C26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7901AA52">
      <w:pPr>
        <w:spacing w:line="600" w:lineRule="exact"/>
        <w:ind w:firstLine="640" w:firstLineChars="200"/>
        <w:rPr>
          <w:rFonts w:ascii="仿宋" w:hAnsi="仿宋" w:eastAsia="仿宋" w:cs="仿宋"/>
          <w:kern w:val="0"/>
          <w:sz w:val="32"/>
          <w:szCs w:val="32"/>
        </w:rPr>
      </w:pPr>
      <w:bookmarkStart w:id="50" w:name="_Toc29066"/>
      <w:bookmarkStart w:id="51" w:name="_Toc1910"/>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智慧交通信息化建设工作经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60318CD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2022801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59ED11C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19FFC4B5">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76E5C2D8">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0A96D421">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3C42A158">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12502EB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18539D6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1C87881B">
      <w:pPr>
        <w:spacing w:line="600" w:lineRule="exact"/>
        <w:ind w:firstLine="643" w:firstLineChars="200"/>
        <w:outlineLvl w:val="1"/>
        <w:rPr>
          <w:rFonts w:ascii="楷体" w:hAnsi="楷体" w:eastAsia="楷体" w:cs="楷体"/>
          <w:b/>
          <w:bCs/>
          <w:kern w:val="0"/>
          <w:sz w:val="32"/>
          <w:szCs w:val="32"/>
        </w:rPr>
      </w:pPr>
      <w:bookmarkStart w:id="53" w:name="_Toc30600"/>
      <w:bookmarkStart w:id="54" w:name="_Toc17254"/>
      <w:bookmarkStart w:id="55" w:name="_Toc23298"/>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70415D37">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4688237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w:t>
      </w:r>
      <w:r>
        <w:rPr>
          <w:rFonts w:hint="eastAsia" w:ascii="仿宋" w:hAnsi="仿宋" w:eastAsia="仿宋" w:cs="仿宋"/>
          <w:kern w:val="0"/>
          <w:sz w:val="32"/>
          <w:szCs w:val="32"/>
          <w:highlight w:val="none"/>
        </w:rPr>
        <w:t>扶风县财政局相</w:t>
      </w:r>
      <w:r>
        <w:rPr>
          <w:rFonts w:hint="eastAsia" w:ascii="仿宋" w:hAnsi="仿宋" w:eastAsia="仿宋" w:cs="仿宋"/>
          <w:kern w:val="0"/>
          <w:sz w:val="32"/>
          <w:szCs w:val="32"/>
        </w:rPr>
        <w:t>关业务股室组成评价工作小组。扶风县财政局统一组织，召开绩效评价工作集中进点布置会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1AA580D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7CB3C2D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2238D8C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1297B48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412A9DF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6C11702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4F6476A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06524E1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51A9716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3AC2493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2A8ADE0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0374323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2C936AA2">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6E3E187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6917CE97">
      <w:pPr>
        <w:spacing w:before="104" w:line="600" w:lineRule="exact"/>
        <w:ind w:firstLine="672"/>
        <w:outlineLvl w:val="0"/>
        <w:rPr>
          <w:rFonts w:ascii="黑体" w:hAnsi="黑体" w:eastAsia="黑体" w:cs="黑体"/>
          <w:spacing w:val="-2"/>
          <w:sz w:val="32"/>
          <w:szCs w:val="32"/>
        </w:rPr>
      </w:pPr>
      <w:bookmarkStart w:id="58" w:name="_Toc27733"/>
      <w:r>
        <w:rPr>
          <w:rFonts w:hint="eastAsia" w:ascii="黑体" w:hAnsi="黑体" w:eastAsia="黑体" w:cs="黑体"/>
          <w:spacing w:val="-2"/>
          <w:sz w:val="32"/>
          <w:szCs w:val="32"/>
        </w:rPr>
        <w:t>三、综合评价情况及评价结论</w:t>
      </w:r>
      <w:bookmarkEnd w:id="56"/>
      <w:bookmarkEnd w:id="58"/>
    </w:p>
    <w:p w14:paraId="7A1933ED">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按照确定的评分细则，通过对各项指标逐一评价打分，智慧交通信息化建设工作经费绩效评价得分为9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.0分，评价结果等级为“优”，评分情况详见下表。</w:t>
      </w:r>
    </w:p>
    <w:p w14:paraId="56ADE63A">
      <w:pPr>
        <w:pStyle w:val="20"/>
        <w:ind w:left="0" w:leftChars="0" w:firstLine="0" w:firstLineChars="0"/>
        <w:jc w:val="center"/>
        <w:rPr>
          <w:rFonts w:ascii="仿宋" w:hAnsi="仿宋" w:eastAsia="仿宋" w:cs="仿宋"/>
          <w:b/>
          <w:bCs/>
          <w:i w:val="0"/>
          <w:iCs w:val="0"/>
          <w:kern w:val="0"/>
          <w:sz w:val="32"/>
          <w:szCs w:val="32"/>
        </w:rPr>
      </w:pPr>
      <w:r>
        <w:rPr>
          <w:rFonts w:ascii="仿宋" w:hAnsi="仿宋" w:eastAsia="仿宋" w:cs="仿宋"/>
          <w:b/>
          <w:bCs/>
          <w:i w:val="0"/>
          <w:iCs w:val="0"/>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28699B5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07066D8A">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1463E6C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007F5179">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0EC1476E">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149658C2">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2DFD2346">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6C0F104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7243B62">
            <w:pPr>
              <w:jc w:val="center"/>
            </w:pPr>
            <w:r>
              <w:rPr>
                <w:rFonts w:ascii="仿宋" w:hAnsi="仿宋" w:eastAsia="仿宋" w:cs="仿宋"/>
                <w:b w:val="0"/>
                <w:sz w:val="32"/>
              </w:rPr>
              <w:t>决策指标</w:t>
            </w:r>
          </w:p>
        </w:tc>
        <w:tc>
          <w:p w14:paraId="2DB33C26">
            <w:pPr>
              <w:jc w:val="center"/>
            </w:pPr>
            <w:r>
              <w:rPr>
                <w:rFonts w:ascii="仿宋" w:hAnsi="仿宋" w:eastAsia="仿宋" w:cs="仿宋"/>
                <w:b w:val="0"/>
                <w:sz w:val="32"/>
              </w:rPr>
              <w:t>18.0</w:t>
            </w:r>
          </w:p>
        </w:tc>
        <w:tc>
          <w:p w14:paraId="270F18DA">
            <w:pPr>
              <w:jc w:val="center"/>
            </w:pPr>
            <w:r>
              <w:rPr>
                <w:rFonts w:ascii="仿宋" w:hAnsi="仿宋" w:eastAsia="仿宋" w:cs="仿宋"/>
                <w:b w:val="0"/>
                <w:sz w:val="32"/>
              </w:rPr>
              <w:t>1</w:t>
            </w:r>
            <w:r>
              <w:rPr>
                <w:rFonts w:hint="eastAsia" w:ascii="仿宋" w:hAnsi="仿宋" w:eastAsia="仿宋" w:cs="仿宋"/>
                <w:b w:val="0"/>
                <w:sz w:val="32"/>
                <w:lang w:val="en-US" w:eastAsia="zh-CN"/>
              </w:rPr>
              <w:t>8</w:t>
            </w:r>
            <w:r>
              <w:rPr>
                <w:rFonts w:ascii="仿宋" w:hAnsi="仿宋" w:eastAsia="仿宋" w:cs="仿宋"/>
                <w:b w:val="0"/>
                <w:sz w:val="32"/>
              </w:rPr>
              <w:t>.0</w:t>
            </w:r>
          </w:p>
        </w:tc>
        <w:tc>
          <w:p w14:paraId="48344B23">
            <w:pPr>
              <w:jc w:val="center"/>
            </w:pPr>
            <w:r>
              <w:rPr>
                <w:rFonts w:hint="eastAsia" w:ascii="仿宋" w:hAnsi="仿宋" w:eastAsia="仿宋" w:cs="仿宋"/>
                <w:b w:val="0"/>
                <w:sz w:val="32"/>
                <w:lang w:val="en-US" w:eastAsia="zh-CN"/>
              </w:rPr>
              <w:t>100</w:t>
            </w:r>
            <w:r>
              <w:rPr>
                <w:rFonts w:ascii="仿宋" w:hAnsi="仿宋" w:eastAsia="仿宋" w:cs="仿宋"/>
                <w:b w:val="0"/>
                <w:sz w:val="32"/>
              </w:rPr>
              <w:t>.</w:t>
            </w:r>
            <w:r>
              <w:rPr>
                <w:rFonts w:hint="eastAsia" w:ascii="仿宋" w:hAnsi="仿宋" w:eastAsia="仿宋" w:cs="仿宋"/>
                <w:b w:val="0"/>
                <w:sz w:val="32"/>
                <w:lang w:val="en-US" w:eastAsia="zh-CN"/>
              </w:rPr>
              <w:t>00</w:t>
            </w:r>
            <w:r>
              <w:rPr>
                <w:rFonts w:ascii="仿宋" w:hAnsi="仿宋" w:eastAsia="仿宋" w:cs="仿宋"/>
                <w:b w:val="0"/>
                <w:sz w:val="32"/>
              </w:rPr>
              <w:t>%</w:t>
            </w:r>
          </w:p>
        </w:tc>
      </w:tr>
      <w:tr w14:paraId="187C7BE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425B064">
            <w:pPr>
              <w:jc w:val="center"/>
            </w:pPr>
            <w:r>
              <w:rPr>
                <w:rFonts w:ascii="仿宋" w:hAnsi="仿宋" w:eastAsia="仿宋" w:cs="仿宋"/>
                <w:b w:val="0"/>
                <w:sz w:val="32"/>
              </w:rPr>
              <w:t>过程指标</w:t>
            </w:r>
          </w:p>
        </w:tc>
        <w:tc>
          <w:p w14:paraId="0A8253DE">
            <w:pPr>
              <w:jc w:val="center"/>
            </w:pPr>
            <w:r>
              <w:rPr>
                <w:rFonts w:ascii="仿宋" w:hAnsi="仿宋" w:eastAsia="仿宋" w:cs="仿宋"/>
                <w:b w:val="0"/>
                <w:sz w:val="32"/>
              </w:rPr>
              <w:t>22.0</w:t>
            </w:r>
          </w:p>
        </w:tc>
        <w:tc>
          <w:p w14:paraId="7EAD7658">
            <w:pPr>
              <w:jc w:val="center"/>
            </w:pPr>
            <w:r>
              <w:rPr>
                <w:rFonts w:hint="eastAsia" w:ascii="仿宋" w:hAnsi="仿宋" w:eastAsia="仿宋" w:cs="仿宋"/>
                <w:b w:val="0"/>
                <w:sz w:val="32"/>
                <w:lang w:val="en-US" w:eastAsia="zh-CN"/>
              </w:rPr>
              <w:t>17</w:t>
            </w:r>
            <w:r>
              <w:rPr>
                <w:rFonts w:ascii="仿宋" w:hAnsi="仿宋" w:eastAsia="仿宋" w:cs="仿宋"/>
                <w:b w:val="0"/>
                <w:sz w:val="32"/>
              </w:rPr>
              <w:t>.0</w:t>
            </w:r>
          </w:p>
        </w:tc>
        <w:tc>
          <w:p w14:paraId="0195684A">
            <w:pPr>
              <w:jc w:val="center"/>
            </w:pPr>
            <w:r>
              <w:rPr>
                <w:rFonts w:hint="eastAsia" w:ascii="仿宋" w:hAnsi="仿宋" w:eastAsia="仿宋" w:cs="仿宋"/>
                <w:b w:val="0"/>
                <w:sz w:val="32"/>
                <w:lang w:val="en-US" w:eastAsia="zh-CN"/>
              </w:rPr>
              <w:t>77</w:t>
            </w:r>
            <w:r>
              <w:rPr>
                <w:rFonts w:ascii="仿宋" w:hAnsi="仿宋" w:eastAsia="仿宋" w:cs="仿宋"/>
                <w:b w:val="0"/>
                <w:sz w:val="32"/>
              </w:rPr>
              <w:t>.</w:t>
            </w:r>
            <w:r>
              <w:rPr>
                <w:rFonts w:hint="eastAsia" w:ascii="仿宋" w:hAnsi="仿宋" w:eastAsia="仿宋" w:cs="仿宋"/>
                <w:b w:val="0"/>
                <w:sz w:val="32"/>
                <w:lang w:val="en-US" w:eastAsia="zh-CN"/>
              </w:rPr>
              <w:t>27</w:t>
            </w:r>
            <w:r>
              <w:rPr>
                <w:rFonts w:ascii="仿宋" w:hAnsi="仿宋" w:eastAsia="仿宋" w:cs="仿宋"/>
                <w:b w:val="0"/>
                <w:sz w:val="32"/>
              </w:rPr>
              <w:t>%</w:t>
            </w:r>
          </w:p>
        </w:tc>
      </w:tr>
      <w:tr w14:paraId="456B543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4112D22">
            <w:pPr>
              <w:jc w:val="center"/>
            </w:pPr>
            <w:r>
              <w:rPr>
                <w:rFonts w:ascii="仿宋" w:hAnsi="仿宋" w:eastAsia="仿宋" w:cs="仿宋"/>
                <w:b w:val="0"/>
                <w:sz w:val="32"/>
              </w:rPr>
              <w:t>产出指标</w:t>
            </w:r>
          </w:p>
        </w:tc>
        <w:tc>
          <w:p w14:paraId="21F8D591">
            <w:pPr>
              <w:jc w:val="center"/>
            </w:pPr>
            <w:r>
              <w:rPr>
                <w:rFonts w:ascii="仿宋" w:hAnsi="仿宋" w:eastAsia="仿宋" w:cs="仿宋"/>
                <w:b w:val="0"/>
                <w:sz w:val="32"/>
              </w:rPr>
              <w:t>36.0</w:t>
            </w:r>
          </w:p>
        </w:tc>
        <w:tc>
          <w:p w14:paraId="23EF95AF">
            <w:pPr>
              <w:jc w:val="center"/>
            </w:pPr>
            <w:r>
              <w:rPr>
                <w:rFonts w:ascii="仿宋" w:hAnsi="仿宋" w:eastAsia="仿宋" w:cs="仿宋"/>
                <w:b w:val="0"/>
                <w:sz w:val="32"/>
              </w:rPr>
              <w:t>36.0</w:t>
            </w:r>
          </w:p>
        </w:tc>
        <w:tc>
          <w:p w14:paraId="6C22980C">
            <w:pPr>
              <w:jc w:val="center"/>
            </w:pPr>
            <w:r>
              <w:rPr>
                <w:rFonts w:ascii="仿宋" w:hAnsi="仿宋" w:eastAsia="仿宋" w:cs="仿宋"/>
                <w:b w:val="0"/>
                <w:sz w:val="32"/>
              </w:rPr>
              <w:t>100.00%</w:t>
            </w:r>
          </w:p>
        </w:tc>
      </w:tr>
      <w:tr w14:paraId="4D78476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4956FD5">
            <w:pPr>
              <w:jc w:val="center"/>
            </w:pPr>
            <w:r>
              <w:rPr>
                <w:rFonts w:ascii="仿宋" w:hAnsi="仿宋" w:eastAsia="仿宋" w:cs="仿宋"/>
                <w:b w:val="0"/>
                <w:sz w:val="32"/>
              </w:rPr>
              <w:t>效益指标</w:t>
            </w:r>
          </w:p>
        </w:tc>
        <w:tc>
          <w:p w14:paraId="3D10FA8B">
            <w:pPr>
              <w:jc w:val="center"/>
            </w:pPr>
            <w:r>
              <w:rPr>
                <w:rFonts w:ascii="仿宋" w:hAnsi="仿宋" w:eastAsia="仿宋" w:cs="仿宋"/>
                <w:b w:val="0"/>
                <w:sz w:val="32"/>
              </w:rPr>
              <w:t>24.0</w:t>
            </w:r>
          </w:p>
        </w:tc>
        <w:tc>
          <w:p w14:paraId="563F93D0">
            <w:pPr>
              <w:jc w:val="center"/>
            </w:pPr>
            <w:r>
              <w:rPr>
                <w:rFonts w:ascii="仿宋" w:hAnsi="仿宋" w:eastAsia="仿宋" w:cs="仿宋"/>
                <w:b w:val="0"/>
                <w:sz w:val="32"/>
              </w:rPr>
              <w:t>24.0</w:t>
            </w:r>
          </w:p>
        </w:tc>
        <w:tc>
          <w:p w14:paraId="5D7495B1">
            <w:pPr>
              <w:jc w:val="center"/>
            </w:pPr>
            <w:r>
              <w:rPr>
                <w:rFonts w:ascii="仿宋" w:hAnsi="仿宋" w:eastAsia="仿宋" w:cs="仿宋"/>
                <w:b w:val="0"/>
                <w:sz w:val="32"/>
              </w:rPr>
              <w:t>100.00%</w:t>
            </w:r>
          </w:p>
        </w:tc>
      </w:tr>
    </w:tbl>
    <w:p w14:paraId="4D84D76E">
      <w:pPr>
        <w:spacing w:before="104" w:line="600" w:lineRule="exact"/>
        <w:ind w:firstLine="672"/>
        <w:outlineLvl w:val="0"/>
        <w:rPr>
          <w:rFonts w:ascii="黑体" w:hAnsi="黑体" w:eastAsia="黑体" w:cs="黑体"/>
          <w:spacing w:val="-2"/>
          <w:sz w:val="32"/>
          <w:szCs w:val="32"/>
        </w:rPr>
      </w:pPr>
      <w:bookmarkStart w:id="60" w:name="_Toc9011"/>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28988"/>
      <w:bookmarkStart w:id="62" w:name="_Toc379"/>
      <w:bookmarkStart w:id="63" w:name="_Toc26570_WPSOffice_Level2"/>
      <w:bookmarkStart w:id="64" w:name="_Hlk2366513"/>
      <w:bookmarkStart w:id="65" w:name="_Toc18549_WPSOffice_Level2"/>
      <w:bookmarkStart w:id="66" w:name="_Toc24823_WPSOffice_Level2"/>
      <w:bookmarkStart w:id="67" w:name="_Toc17947"/>
      <w:bookmarkStart w:id="68" w:name="_Toc4780_WPSOffice_Level2"/>
    </w:p>
    <w:p w14:paraId="57D4B86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24889"/>
      <w:r>
        <w:rPr>
          <w:rFonts w:hint="eastAsia" w:ascii="楷体_GB2312" w:hAnsi="楷体_GB2312" w:eastAsia="楷体_GB2312" w:cs="楷体_GB2312"/>
          <w:b/>
          <w:bCs/>
          <w:kern w:val="0"/>
          <w:sz w:val="32"/>
          <w:szCs w:val="32"/>
        </w:rPr>
        <w:t>（一）决策指标（满分18.0分，实得1</w:t>
      </w:r>
      <w:r>
        <w:rPr>
          <w:rFonts w:hint="eastAsia" w:ascii="楷体_GB2312" w:hAnsi="楷体_GB2312" w:eastAsia="楷体_GB2312" w:cs="楷体_GB2312"/>
          <w:b/>
          <w:bCs/>
          <w:kern w:val="0"/>
          <w:sz w:val="32"/>
          <w:szCs w:val="32"/>
          <w:lang w:val="en-US" w:eastAsia="zh-CN"/>
        </w:rPr>
        <w:t>8</w:t>
      </w:r>
      <w:r>
        <w:rPr>
          <w:rFonts w:hint="eastAsia" w:ascii="楷体_GB2312" w:hAnsi="楷体_GB2312" w:eastAsia="楷体_GB2312" w:cs="楷体_GB2312"/>
          <w:b/>
          <w:bCs/>
          <w:kern w:val="0"/>
          <w:sz w:val="32"/>
          <w:szCs w:val="32"/>
        </w:rPr>
        <w:t>.0分）</w:t>
      </w:r>
      <w:bookmarkEnd w:id="69"/>
    </w:p>
    <w:p w14:paraId="0D1576E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553BE51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77F533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贯彻落实《“十四五”现代综合交通运输体系发展规划》(国发〔2021〕27号)，执行《宝鸡市交通运输局2023年工作要点》有关加强交通运输信息化建设的要求，扶风县人民政府于2023年5月23日以《关于扶风县"四好农村路"信息化综合管理系统项目建设有关问题的会议纪要》（第十五次）决定实施智慧交通信息化建设项目；项目由扶风县交通运输局负责具体实施；根据《宝鸡市交通运输局2023年工作要点》，提出要积极推进交通信息化建设，开展智慧交通综合管理信息化平台建设方案研究，完善基层执法场所规范化和执法装备的信息化建设；项目资金投向公共基础设施，属非经营性项目；经分析，项目立项</w:t>
      </w:r>
      <w:r>
        <w:rPr>
          <w:rFonts w:hint="eastAsia" w:ascii="仿宋" w:hAnsi="仿宋" w:eastAsia="仿宋" w:cs="仿宋"/>
          <w:kern w:val="0"/>
          <w:sz w:val="32"/>
          <w:szCs w:val="32"/>
          <w:lang w:val="en-US" w:eastAsia="zh-CN"/>
        </w:rPr>
        <w:t>符合国家发展规划和地方行业规划，属于交通部门职责范围，在公共财政支持范围内，与相关项目不重复。</w:t>
      </w:r>
    </w:p>
    <w:p w14:paraId="2ED032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9AC3C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7209C3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项目经扶风县交通运输局内部集体决策，报扶风县人民政府《关于扶风县"四好农村路"信息化综合管理系统项目建设有关问题的会议》（第十五次）审定通过；经分析，项目已经按照规定的程序申请设立；审批文件、材料符合相关要求；事前经过必要的可行性研究、集体决策。 </w:t>
      </w:r>
    </w:p>
    <w:p w14:paraId="0D7C40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037771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w:t>
      </w:r>
      <w:r>
        <w:rPr>
          <w:rFonts w:hint="eastAsia" w:ascii="仿宋" w:hAnsi="仿宋" w:eastAsia="仿宋" w:cs="仿宋"/>
          <w:kern w:val="0"/>
          <w:sz w:val="32"/>
          <w:szCs w:val="32"/>
          <w:lang w:val="en-US" w:eastAsia="zh-CN"/>
        </w:rPr>
        <w:t>7</w:t>
      </w:r>
      <w:r>
        <w:rPr>
          <w:rFonts w:ascii="仿宋" w:hAnsi="仿宋" w:eastAsia="仿宋" w:cs="仿宋"/>
          <w:kern w:val="0"/>
          <w:sz w:val="32"/>
          <w:szCs w:val="32"/>
        </w:rPr>
        <w:t>.0分）</w:t>
      </w:r>
    </w:p>
    <w:p w14:paraId="41B776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lang w:val="en-US" w:eastAsia="zh-CN"/>
        </w:rPr>
        <w:t>1</w:t>
      </w:r>
      <w:r>
        <w:rPr>
          <w:rFonts w:ascii="仿宋" w:hAnsi="仿宋" w:eastAsia="仿宋" w:cs="仿宋"/>
          <w:kern w:val="0"/>
          <w:sz w:val="32"/>
          <w:szCs w:val="32"/>
        </w:rPr>
        <w:t>）绩效目标合理性（满分4.0分，实得</w:t>
      </w:r>
      <w:r>
        <w:rPr>
          <w:rFonts w:hint="eastAsia" w:ascii="仿宋" w:hAnsi="仿宋" w:eastAsia="仿宋" w:cs="仿宋"/>
          <w:kern w:val="0"/>
          <w:sz w:val="32"/>
          <w:szCs w:val="32"/>
          <w:lang w:val="en-US" w:eastAsia="zh-CN"/>
        </w:rPr>
        <w:t>4</w:t>
      </w:r>
      <w:r>
        <w:rPr>
          <w:rFonts w:ascii="仿宋" w:hAnsi="仿宋" w:eastAsia="仿宋" w:cs="仿宋"/>
          <w:kern w:val="0"/>
          <w:sz w:val="32"/>
          <w:szCs w:val="32"/>
        </w:rPr>
        <w:t>.0分）</w:t>
      </w:r>
    </w:p>
    <w:p w14:paraId="5909BE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项目设置的绩效目标为：扶风县四好农村路信息化综合管理云平台以"一图，一库、一平台"为核心，遵循"建好，管好，护好，运营好"为目的进行规划设计，以深化农村公路管理养护体制改革为指导，云平台系统聚合公路建设、路长制、日常养护、病害整治、桥梁分析、路况信息、数字路产、安全双预防、智能考勤等功能，实现农村公路全过程智能精细化监管。通过信息化手段的推广应用，切实提升管理效率，降低劳动成本，促进农村公路管理水平再上新台阶.计划在县交通运输局建设指挥中心、信息化平台、平交路口、弯道和坡道等安全隐患处安装高清视频监控，系统以互联网+交通为基础，围绕一个中心，两个平台〔PC端和移动端〕、三大体系〔智慧管养、数据监测和应急保障〕为技术指导，建设多系统信息融合的综合信息运营与监测管理平台、实现农村公路管理数字化、信息化、网络化、办公自动化、服务大众化。经分析，项目有绩效目标；绩效目标与实际工作内容具有相关性；预期产出效益和效果符合正常的业绩水平；与预算确定的项目投资额或资金量相匹配。</w:t>
      </w:r>
    </w:p>
    <w:p w14:paraId="34074B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w:t>
      </w:r>
      <w:r>
        <w:rPr>
          <w:rFonts w:hint="eastAsia" w:ascii="仿宋" w:hAnsi="仿宋" w:eastAsia="仿宋" w:cs="仿宋"/>
          <w:kern w:val="0"/>
          <w:sz w:val="32"/>
          <w:szCs w:val="32"/>
          <w:lang w:val="en-US" w:eastAsia="zh-CN"/>
        </w:rPr>
        <w:t>0</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4</w:t>
      </w:r>
      <w:r>
        <w:rPr>
          <w:rFonts w:ascii="仿宋" w:hAnsi="仿宋" w:eastAsia="仿宋" w:cs="仿宋"/>
          <w:kern w:val="0"/>
          <w:sz w:val="32"/>
          <w:szCs w:val="32"/>
        </w:rPr>
        <w:t>.0分。</w:t>
      </w:r>
    </w:p>
    <w:p w14:paraId="463AC5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lang w:val="en-US" w:eastAsia="zh-CN"/>
        </w:rPr>
        <w:t>2</w:t>
      </w:r>
      <w:r>
        <w:rPr>
          <w:rFonts w:ascii="仿宋" w:hAnsi="仿宋" w:eastAsia="仿宋" w:cs="仿宋"/>
          <w:kern w:val="0"/>
          <w:sz w:val="32"/>
          <w:szCs w:val="32"/>
        </w:rPr>
        <w:t>）绩效指标明确性（满分3.0分，实得</w:t>
      </w:r>
      <w:r>
        <w:rPr>
          <w:rFonts w:hint="eastAsia" w:ascii="仿宋" w:hAnsi="仿宋" w:eastAsia="仿宋" w:cs="仿宋"/>
          <w:kern w:val="0"/>
          <w:sz w:val="32"/>
          <w:szCs w:val="32"/>
          <w:lang w:val="en-US" w:eastAsia="zh-CN"/>
        </w:rPr>
        <w:t>3</w:t>
      </w:r>
      <w:r>
        <w:rPr>
          <w:rFonts w:ascii="仿宋" w:hAnsi="仿宋" w:eastAsia="仿宋" w:cs="仿宋"/>
          <w:kern w:val="0"/>
          <w:sz w:val="32"/>
          <w:szCs w:val="32"/>
        </w:rPr>
        <w:t>.0分）</w:t>
      </w:r>
    </w:p>
    <w:p w14:paraId="38A366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项目设置建设1套智慧养护综合管理信息化平台、12套配套终端智能设备、1套交通指挥中心，总投资200万元产出指标；加快推进农村公路信息化、管理信息化运用、提升管理效率、推动农村公路管理数字信息化为效益指标。经分析，项目将绩效目标细化分解为具体的绩效指标；通过清晰、可衡量的指标值予以体现；与项目目标任务数或计划数相对应。</w:t>
      </w:r>
    </w:p>
    <w:p w14:paraId="35C8E0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yellow"/>
          <w:lang w:val="en-US" w:eastAsia="zh-CN"/>
        </w:rPr>
      </w:pPr>
      <w:r>
        <w:rPr>
          <w:rFonts w:ascii="仿宋" w:hAnsi="仿宋" w:eastAsia="仿宋" w:cs="仿宋"/>
          <w:kern w:val="0"/>
          <w:sz w:val="32"/>
          <w:szCs w:val="32"/>
        </w:rPr>
        <w:t>根据评分标准，本指标满分3.0分，扣</w:t>
      </w:r>
      <w:r>
        <w:rPr>
          <w:rFonts w:hint="eastAsia" w:ascii="仿宋" w:hAnsi="仿宋" w:eastAsia="仿宋" w:cs="仿宋"/>
          <w:kern w:val="0"/>
          <w:sz w:val="32"/>
          <w:szCs w:val="32"/>
          <w:lang w:val="en-US" w:eastAsia="zh-CN"/>
        </w:rPr>
        <w:t>0.0</w:t>
      </w:r>
      <w:r>
        <w:rPr>
          <w:rFonts w:ascii="仿宋" w:hAnsi="仿宋" w:eastAsia="仿宋" w:cs="仿宋"/>
          <w:kern w:val="0"/>
          <w:sz w:val="32"/>
          <w:szCs w:val="32"/>
        </w:rPr>
        <w:t>分，评价得</w:t>
      </w:r>
      <w:r>
        <w:rPr>
          <w:rFonts w:hint="eastAsia" w:ascii="仿宋" w:hAnsi="仿宋" w:eastAsia="仿宋" w:cs="仿宋"/>
          <w:kern w:val="0"/>
          <w:sz w:val="32"/>
          <w:szCs w:val="32"/>
          <w:lang w:val="en-US" w:eastAsia="zh-CN"/>
        </w:rPr>
        <w:t>3.0</w:t>
      </w:r>
      <w:r>
        <w:rPr>
          <w:rFonts w:ascii="仿宋" w:hAnsi="仿宋" w:eastAsia="仿宋" w:cs="仿宋"/>
          <w:kern w:val="0"/>
          <w:sz w:val="32"/>
          <w:szCs w:val="32"/>
        </w:rPr>
        <w:t>分。</w:t>
      </w:r>
    </w:p>
    <w:p w14:paraId="652BB0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14DC2C1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60B74D1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主管</w:t>
      </w:r>
      <w:r>
        <w:rPr>
          <w:rFonts w:ascii="仿宋" w:hAnsi="仿宋" w:eastAsia="仿宋" w:cs="仿宋"/>
          <w:kern w:val="0"/>
          <w:sz w:val="32"/>
          <w:szCs w:val="32"/>
        </w:rPr>
        <w:t>部门根据业务计划，参照</w:t>
      </w:r>
      <w:r>
        <w:rPr>
          <w:rFonts w:hint="eastAsia" w:ascii="仿宋" w:hAnsi="仿宋" w:eastAsia="仿宋" w:cs="仿宋"/>
          <w:kern w:val="0"/>
          <w:sz w:val="32"/>
          <w:szCs w:val="32"/>
          <w:lang w:val="en-US" w:eastAsia="zh-CN"/>
        </w:rPr>
        <w:t>采购内容</w:t>
      </w:r>
      <w:r>
        <w:rPr>
          <w:rFonts w:ascii="仿宋" w:hAnsi="仿宋" w:eastAsia="仿宋" w:cs="仿宋"/>
          <w:kern w:val="0"/>
          <w:sz w:val="32"/>
          <w:szCs w:val="32"/>
        </w:rPr>
        <w:t>编制项目预算、报财政部门审核；经分析，预算编制经过科学论证</w:t>
      </w:r>
      <w:r>
        <w:rPr>
          <w:rFonts w:hint="eastAsia" w:ascii="仿宋" w:hAnsi="仿宋" w:eastAsia="仿宋" w:cs="仿宋"/>
          <w:kern w:val="0"/>
          <w:sz w:val="32"/>
          <w:szCs w:val="32"/>
          <w:lang w:eastAsia="zh-CN"/>
        </w:rPr>
        <w:t>，</w:t>
      </w:r>
      <w:r>
        <w:rPr>
          <w:rFonts w:ascii="仿宋" w:hAnsi="仿宋" w:eastAsia="仿宋" w:cs="仿宋"/>
          <w:kern w:val="0"/>
          <w:sz w:val="32"/>
          <w:szCs w:val="32"/>
        </w:rPr>
        <w:t>预算内容与项目内容相匹配</w:t>
      </w:r>
      <w:r>
        <w:rPr>
          <w:rFonts w:hint="eastAsia" w:ascii="仿宋" w:hAnsi="仿宋" w:eastAsia="仿宋" w:cs="仿宋"/>
          <w:kern w:val="0"/>
          <w:sz w:val="32"/>
          <w:szCs w:val="32"/>
          <w:lang w:eastAsia="zh-CN"/>
        </w:rPr>
        <w:t>，</w:t>
      </w:r>
      <w:r>
        <w:rPr>
          <w:rFonts w:ascii="仿宋" w:hAnsi="仿宋" w:eastAsia="仿宋" w:cs="仿宋"/>
          <w:kern w:val="0"/>
          <w:sz w:val="32"/>
          <w:szCs w:val="32"/>
        </w:rPr>
        <w:t>预算额度测算依据充分；预算确定的项目投资额与工作任务相匹配。</w:t>
      </w:r>
    </w:p>
    <w:p w14:paraId="3A4960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611115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007A5E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资金列入部门预算，由财政下达给扶风县交通运输局；资金拨付以批准的部门预算额度为准，如确需追加预算的，由扶风县交通运输局按专项资金设立程序提出申请报扶风县财政局，并按照权限由扶风县财政局审定；经分析，预算资金分配依据充分</w:t>
      </w:r>
      <w:r>
        <w:rPr>
          <w:rFonts w:hint="eastAsia" w:ascii="仿宋" w:hAnsi="仿宋" w:eastAsia="仿宋" w:cs="仿宋"/>
          <w:kern w:val="0"/>
          <w:sz w:val="32"/>
          <w:szCs w:val="32"/>
          <w:lang w:eastAsia="zh-CN"/>
        </w:rPr>
        <w:t>，</w:t>
      </w:r>
      <w:r>
        <w:rPr>
          <w:rFonts w:ascii="仿宋" w:hAnsi="仿宋" w:eastAsia="仿宋" w:cs="仿宋"/>
          <w:kern w:val="0"/>
          <w:sz w:val="32"/>
          <w:szCs w:val="32"/>
        </w:rPr>
        <w:t xml:space="preserve">资金分配额度合理、与项目实际相适应。 </w:t>
      </w:r>
    </w:p>
    <w:p w14:paraId="0347EB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50C0EA3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22523"/>
      <w:r>
        <w:rPr>
          <w:rFonts w:hint="eastAsia" w:ascii="楷体_GB2312" w:hAnsi="楷体_GB2312" w:eastAsia="楷体_GB2312" w:cs="楷体_GB2312"/>
          <w:b/>
          <w:bCs/>
          <w:kern w:val="0"/>
          <w:sz w:val="32"/>
          <w:szCs w:val="32"/>
        </w:rPr>
        <w:t>（二）过程指标（满分22.0分，实得</w:t>
      </w:r>
      <w:r>
        <w:rPr>
          <w:rFonts w:hint="eastAsia" w:ascii="楷体_GB2312" w:hAnsi="楷体_GB2312" w:eastAsia="楷体_GB2312" w:cs="楷体_GB2312"/>
          <w:b/>
          <w:bCs/>
          <w:kern w:val="0"/>
          <w:sz w:val="32"/>
          <w:szCs w:val="32"/>
          <w:lang w:val="en-US" w:eastAsia="zh-CN"/>
        </w:rPr>
        <w:t>17</w:t>
      </w:r>
      <w:r>
        <w:rPr>
          <w:rFonts w:hint="eastAsia" w:ascii="楷体_GB2312" w:hAnsi="楷体_GB2312" w:eastAsia="楷体_GB2312" w:cs="楷体_GB2312"/>
          <w:b/>
          <w:bCs/>
          <w:kern w:val="0"/>
          <w:sz w:val="32"/>
          <w:szCs w:val="32"/>
        </w:rPr>
        <w:t>.0分）</w:t>
      </w:r>
      <w:bookmarkEnd w:id="70"/>
    </w:p>
    <w:p w14:paraId="505016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1、资金管理（满分11.0分，实得10.0分）</w:t>
      </w:r>
    </w:p>
    <w:p w14:paraId="2C593A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2A4BB5B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评价小组查阅了项目有关的预算资金下达文件：扶风县财政局于2023年5月27日以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扶财办预〔2023〕051号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文件向扶风县交通运输局下达智慧交通信息化建设工作经费预算资金100万元。</w:t>
      </w:r>
      <w:r>
        <w:rPr>
          <w:rFonts w:ascii="仿宋" w:hAnsi="仿宋" w:eastAsia="仿宋" w:cs="仿宋"/>
          <w:kern w:val="0"/>
          <w:sz w:val="32"/>
          <w:szCs w:val="32"/>
          <w:highlight w:val="none"/>
        </w:rPr>
        <w:t>下达预算资金100万元，</w:t>
      </w:r>
      <w:r>
        <w:rPr>
          <w:rFonts w:ascii="仿宋" w:hAnsi="仿宋" w:eastAsia="仿宋" w:cs="仿宋"/>
          <w:kern w:val="0"/>
          <w:sz w:val="32"/>
          <w:szCs w:val="32"/>
        </w:rPr>
        <w:t>实际到位资金100万元，资金到位率100.00%。</w:t>
      </w:r>
    </w:p>
    <w:p w14:paraId="7DEAA8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05D799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（2）预算执行率（满分5.0分，实得4.0分）</w:t>
      </w:r>
    </w:p>
    <w:p w14:paraId="181C753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项目预算执行情况如下：智慧交通信息化建设工作经费各内容明细的实际到位资金为100万元，实际支出资金为94.98万元，预算执行率为94.98%。</w:t>
      </w:r>
    </w:p>
    <w:p w14:paraId="26FB52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根据评分标准，本指标满分5.0分，扣1.0分，评价得4.0分。</w:t>
      </w:r>
    </w:p>
    <w:p w14:paraId="3631FF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19DF54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项目资金支付时由西安能芯智慧交通信息科技有限公司提出申请，经扶风县交通运输局审核及批准；项目达到合同规定的付款条件，凭合同、发票、验收资料等，按照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项目资金的支出符合国家财经法规和有关专项资金管理办法的规定；资金的拨付有完整的审批程序和手续；符合项目合同规定的用途；不存在截留、挤占、挪用、虚列支出等情况。</w:t>
      </w:r>
    </w:p>
    <w:p w14:paraId="196391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44FA11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w:t>
      </w:r>
      <w:r>
        <w:rPr>
          <w:rFonts w:hint="eastAsia" w:ascii="仿宋" w:hAnsi="仿宋" w:eastAsia="仿宋" w:cs="仿宋"/>
          <w:kern w:val="0"/>
          <w:sz w:val="32"/>
          <w:szCs w:val="32"/>
          <w:lang w:val="en-US" w:eastAsia="zh-CN"/>
        </w:rPr>
        <w:t>7</w:t>
      </w:r>
      <w:r>
        <w:rPr>
          <w:rFonts w:ascii="仿宋" w:hAnsi="仿宋" w:eastAsia="仿宋" w:cs="仿宋"/>
          <w:kern w:val="0"/>
          <w:sz w:val="32"/>
          <w:szCs w:val="32"/>
        </w:rPr>
        <w:t>.0分）</w:t>
      </w:r>
    </w:p>
    <w:p w14:paraId="2A9076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7214D4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通过</w:t>
      </w:r>
      <w:r>
        <w:rPr>
          <w:rFonts w:hint="eastAsia" w:ascii="仿宋" w:hAnsi="仿宋" w:eastAsia="仿宋" w:cs="仿宋"/>
          <w:kern w:val="0"/>
          <w:sz w:val="32"/>
          <w:szCs w:val="32"/>
          <w:lang w:val="en-US" w:eastAsia="zh-CN"/>
        </w:rPr>
        <w:t>委托招标代理公司，采取</w:t>
      </w:r>
      <w:r>
        <w:rPr>
          <w:rFonts w:ascii="仿宋" w:hAnsi="仿宋" w:eastAsia="仿宋" w:cs="仿宋"/>
          <w:kern w:val="0"/>
          <w:sz w:val="32"/>
          <w:szCs w:val="32"/>
        </w:rPr>
        <w:t>竞争性磋商的采购方式，确认西安能芯智慧交通信息科技有限公司为该项目的施工单位；经分析，项目采购执行了内部决策程序；项目采购方式符合规定；项目采购履行了必要的验收</w:t>
      </w:r>
      <w:r>
        <w:rPr>
          <w:rFonts w:hint="eastAsia" w:ascii="仿宋" w:hAnsi="仿宋" w:eastAsia="仿宋" w:cs="仿宋"/>
          <w:kern w:val="0"/>
          <w:sz w:val="32"/>
          <w:szCs w:val="32"/>
          <w:lang w:val="en-US" w:eastAsia="zh-CN"/>
        </w:rPr>
        <w:t>程序</w:t>
      </w:r>
      <w:r>
        <w:rPr>
          <w:rFonts w:ascii="仿宋" w:hAnsi="仿宋" w:eastAsia="仿宋" w:cs="仿宋"/>
          <w:kern w:val="0"/>
          <w:sz w:val="32"/>
          <w:szCs w:val="32"/>
        </w:rPr>
        <w:t>；项目采购结算准确、合理。</w:t>
      </w:r>
    </w:p>
    <w:p w14:paraId="0F476E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65D60E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（2）管理制度健全性（满分2.0分，实得0.0分）</w:t>
      </w:r>
    </w:p>
    <w:p w14:paraId="7B5E1B1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yellow"/>
        </w:rPr>
      </w:pPr>
      <w:r>
        <w:rPr>
          <w:rFonts w:hint="eastAsia" w:ascii="仿宋" w:hAnsi="仿宋" w:eastAsia="仿宋" w:cs="仿宋"/>
          <w:kern w:val="0"/>
          <w:sz w:val="32"/>
          <w:szCs w:val="32"/>
          <w:lang w:val="en-US" w:eastAsia="zh-CN"/>
        </w:rPr>
        <w:t>项目单位</w:t>
      </w:r>
      <w:r>
        <w:rPr>
          <w:rFonts w:ascii="仿宋" w:hAnsi="仿宋" w:eastAsia="仿宋" w:cs="仿宋"/>
          <w:kern w:val="0"/>
          <w:sz w:val="32"/>
          <w:szCs w:val="32"/>
        </w:rPr>
        <w:t>未制定或具有相应的财务和业务管理制度。</w:t>
      </w:r>
    </w:p>
    <w:p w14:paraId="2E7908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根据评分标准，本指标满分2.0分，扣2.0分，评价得0.0分。</w:t>
      </w:r>
    </w:p>
    <w:p w14:paraId="2AD567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w:t>
      </w:r>
    </w:p>
    <w:p w14:paraId="600D20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lang w:val="en-US" w:eastAsia="zh-CN"/>
        </w:rPr>
      </w:pPr>
      <w:r>
        <w:rPr>
          <w:rFonts w:ascii="仿宋" w:hAnsi="仿宋" w:eastAsia="仿宋" w:cs="仿宋"/>
          <w:kern w:val="0"/>
          <w:sz w:val="32"/>
          <w:szCs w:val="32"/>
        </w:rPr>
        <w:t>项目实施单位</w:t>
      </w:r>
      <w:r>
        <w:rPr>
          <w:rFonts w:hint="eastAsia" w:ascii="仿宋" w:hAnsi="仿宋" w:eastAsia="仿宋" w:cs="仿宋"/>
          <w:kern w:val="0"/>
          <w:sz w:val="32"/>
          <w:szCs w:val="32"/>
          <w:lang w:val="en-US" w:eastAsia="zh-CN"/>
        </w:rPr>
        <w:t>开展</w:t>
      </w:r>
      <w:r>
        <w:rPr>
          <w:rFonts w:ascii="仿宋" w:hAnsi="仿宋" w:eastAsia="仿宋" w:cs="仿宋"/>
          <w:kern w:val="0"/>
          <w:sz w:val="32"/>
          <w:szCs w:val="32"/>
        </w:rPr>
        <w:t>了绩效自评</w:t>
      </w:r>
      <w:r>
        <w:rPr>
          <w:rFonts w:hint="eastAsia" w:ascii="仿宋" w:hAnsi="仿宋" w:eastAsia="仿宋" w:cs="仿宋"/>
          <w:kern w:val="0"/>
          <w:sz w:val="32"/>
          <w:szCs w:val="32"/>
          <w:lang w:val="en-US" w:eastAsia="zh-CN"/>
        </w:rPr>
        <w:t>工作，但没有打分表，社会效益没有详细内容。</w:t>
      </w:r>
    </w:p>
    <w:p w14:paraId="672BD93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w:t>
      </w:r>
    </w:p>
    <w:p w14:paraId="5B020FB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5927"/>
      <w:r>
        <w:rPr>
          <w:rFonts w:hint="eastAsia" w:ascii="楷体_GB2312" w:hAnsi="楷体_GB2312" w:eastAsia="楷体_GB2312" w:cs="楷体_GB2312"/>
          <w:b/>
          <w:bCs/>
          <w:kern w:val="0"/>
          <w:sz w:val="32"/>
          <w:szCs w:val="32"/>
        </w:rPr>
        <w:t>（三）产出指标（满分36.0分，实得36.0分）</w:t>
      </w:r>
      <w:bookmarkEnd w:id="71"/>
    </w:p>
    <w:p w14:paraId="5269B0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158381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00BEE0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为了核实项目的实际完成情况，评价小组</w:t>
      </w:r>
      <w:r>
        <w:rPr>
          <w:rFonts w:hint="eastAsia" w:ascii="仿宋" w:hAnsi="仿宋" w:eastAsia="仿宋" w:cs="仿宋"/>
          <w:kern w:val="0"/>
          <w:sz w:val="32"/>
          <w:szCs w:val="32"/>
          <w:lang w:val="en-US" w:eastAsia="zh-CN"/>
        </w:rPr>
        <w:t>查看了验收资料，包括：</w:t>
      </w:r>
      <w:r>
        <w:rPr>
          <w:rFonts w:ascii="仿宋" w:hAnsi="仿宋" w:eastAsia="仿宋" w:cs="仿宋"/>
          <w:kern w:val="0"/>
          <w:sz w:val="32"/>
          <w:szCs w:val="32"/>
        </w:rPr>
        <w:t>建设智慧养护综合管理信息化平台1套，配套终端</w:t>
      </w:r>
      <w:r>
        <w:rPr>
          <w:rFonts w:hint="eastAsia" w:ascii="仿宋" w:hAnsi="仿宋" w:eastAsia="仿宋" w:cs="仿宋"/>
          <w:kern w:val="0"/>
          <w:sz w:val="32"/>
          <w:szCs w:val="32"/>
          <w:lang w:val="en-US" w:eastAsia="zh-CN"/>
        </w:rPr>
        <w:t>智能</w:t>
      </w:r>
      <w:r>
        <w:rPr>
          <w:rFonts w:ascii="仿宋" w:hAnsi="仿宋" w:eastAsia="仿宋" w:cs="仿宋"/>
          <w:kern w:val="0"/>
          <w:sz w:val="32"/>
          <w:szCs w:val="32"/>
        </w:rPr>
        <w:t>设备10套，交通运输信息指挥中心1套，核查率100.00%，项目计划内容已全部实施。</w:t>
      </w:r>
    </w:p>
    <w:p w14:paraId="32068C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3E8E17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5EE135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质量合格率（满分9.0分，实得9.0分）</w:t>
      </w:r>
    </w:p>
    <w:p w14:paraId="635A0F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项目的验收资料显示，产品在包装、外观、数量、型号</w:t>
      </w:r>
      <w:r>
        <w:rPr>
          <w:rFonts w:hint="eastAsia" w:ascii="仿宋" w:hAnsi="仿宋" w:eastAsia="仿宋" w:cs="仿宋"/>
          <w:kern w:val="0"/>
          <w:sz w:val="32"/>
          <w:szCs w:val="32"/>
          <w:lang w:val="en-US" w:eastAsia="zh-CN"/>
        </w:rPr>
        <w:t>等方面</w:t>
      </w:r>
      <w:r>
        <w:rPr>
          <w:rFonts w:ascii="仿宋" w:hAnsi="仿宋" w:eastAsia="仿宋" w:cs="仿宋"/>
          <w:kern w:val="0"/>
          <w:sz w:val="32"/>
          <w:szCs w:val="32"/>
        </w:rPr>
        <w:t>完好无缺失，质量、功能符合约定要求，项目质量合格。</w:t>
      </w:r>
    </w:p>
    <w:p w14:paraId="6D0521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w:t>
      </w:r>
      <w:bookmarkStart w:id="80" w:name="_GoBack"/>
      <w:bookmarkEnd w:id="80"/>
      <w:r>
        <w:rPr>
          <w:rFonts w:ascii="仿宋" w:hAnsi="仿宋" w:eastAsia="仿宋" w:cs="仿宋"/>
          <w:kern w:val="0"/>
          <w:sz w:val="32"/>
          <w:szCs w:val="32"/>
        </w:rPr>
        <w:t>价得9.0分。</w:t>
      </w:r>
    </w:p>
    <w:p w14:paraId="65FEE32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3DD025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完成及时率（满分9.0分，实得9.0分）</w:t>
      </w:r>
    </w:p>
    <w:p w14:paraId="53162A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项目在约定时间内完成，完成及时率100%。</w:t>
      </w:r>
    </w:p>
    <w:p w14:paraId="40EC46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40DD37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5C81DD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成本节约率（满分9.0分，实得9.0分）</w:t>
      </w:r>
    </w:p>
    <w:p w14:paraId="5CB06B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实际到位资金为100万元，实际应支出资金为99.98万元，成本节约率为0.02%。</w:t>
      </w:r>
    </w:p>
    <w:p w14:paraId="29B1F4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27C6D4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3452"/>
      <w:r>
        <w:rPr>
          <w:rFonts w:hint="eastAsia" w:ascii="楷体_GB2312" w:hAnsi="楷体_GB2312" w:eastAsia="楷体_GB2312" w:cs="楷体_GB2312"/>
          <w:b/>
          <w:bCs/>
          <w:kern w:val="0"/>
          <w:sz w:val="32"/>
          <w:szCs w:val="32"/>
        </w:rPr>
        <w:t>（四）效益指标（满分24.0分，实得24.0分）</w:t>
      </w:r>
      <w:bookmarkEnd w:id="72"/>
    </w:p>
    <w:p w14:paraId="43FE35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1、社会效益（满分16.0分，实得16.0分）</w:t>
      </w:r>
    </w:p>
    <w:p w14:paraId="473B8F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（1）提高运输效率，促进交通安全（满分16.0分，实得16.0分）</w:t>
      </w:r>
    </w:p>
    <w:p w14:paraId="39262C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项目能提高交通运行能力，缓解交通负担，改善居民出行条件，促进交通安全。</w:t>
      </w:r>
    </w:p>
    <w:p w14:paraId="68BC43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根据评分标准，本指标满分16.0分，扣0.0分，评价得16.0分。</w:t>
      </w:r>
    </w:p>
    <w:p w14:paraId="136460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2、满意度（满分8.0分，实得8.0分）</w:t>
      </w:r>
    </w:p>
    <w:p w14:paraId="02E325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（1）社会公众满意度（满分8.0分，实得8.0分）</w:t>
      </w:r>
    </w:p>
    <w:p w14:paraId="2D02AA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评价组机构通过抽样共计发放40份问卷，社会公众对项目的整体评价为非常满意。满意度调查情况详见《调查问卷分析》。</w:t>
      </w:r>
    </w:p>
    <w:p w14:paraId="739DCB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根据评分标准，本指标满分8.0分，扣0.0分，评价得8.0分。</w:t>
      </w:r>
    </w:p>
    <w:p w14:paraId="760CD6C7">
      <w:pPr>
        <w:spacing w:before="104" w:line="600" w:lineRule="exact"/>
        <w:ind w:firstLine="672"/>
        <w:outlineLvl w:val="0"/>
        <w:rPr>
          <w:rFonts w:ascii="黑体" w:hAnsi="黑体" w:eastAsia="黑体" w:cs="黑体"/>
          <w:spacing w:val="-2"/>
          <w:sz w:val="32"/>
          <w:szCs w:val="32"/>
        </w:rPr>
      </w:pPr>
      <w:bookmarkStart w:id="73" w:name="_Toc29790"/>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3CD7580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4" w:name="_Toc29128"/>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rPr>
        <w:t>）项目未制定相关的财务和业务管理制度</w:t>
      </w:r>
      <w:bookmarkEnd w:id="74"/>
    </w:p>
    <w:p w14:paraId="6D5E382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75" w:name="_Toc29772"/>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二）项目自评表没有打分</w:t>
      </w:r>
      <w:bookmarkEnd w:id="75"/>
    </w:p>
    <w:p w14:paraId="4219207F">
      <w:pPr>
        <w:spacing w:line="600" w:lineRule="exact"/>
        <w:ind w:firstLine="632" w:firstLineChars="200"/>
        <w:outlineLvl w:val="0"/>
        <w:rPr>
          <w:rFonts w:ascii="黑体" w:hAnsi="黑体" w:eastAsia="黑体" w:cs="黑体"/>
          <w:spacing w:val="-2"/>
          <w:sz w:val="32"/>
          <w:szCs w:val="32"/>
        </w:rPr>
      </w:pPr>
      <w:bookmarkStart w:id="76" w:name="_Toc2475"/>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6"/>
    </w:p>
    <w:p w14:paraId="4E46526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7" w:name="_Toc2876"/>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rPr>
        <w:t>）制定有关制度，加强绩效管理</w:t>
      </w:r>
      <w:bookmarkEnd w:id="77"/>
    </w:p>
    <w:p w14:paraId="3C797073">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扶风县交通运输局应根据项目的实际需要制定业务管理制度，对项目进度和绩效目标实现情况进行监控、考核，及时纠正项目实施过程中的偏差，确保项目绩效目标顺利实现。</w:t>
      </w:r>
    </w:p>
    <w:p w14:paraId="3777F93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78" w:name="_Toc14382"/>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二）自评表应及时打分</w:t>
      </w:r>
      <w:bookmarkEnd w:id="78"/>
    </w:p>
    <w:p w14:paraId="0E90EBF1">
      <w:pPr>
        <w:spacing w:line="600" w:lineRule="exac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项目在进行自评的过程中，应根据实际情况，明确具体的指标完成情况，以及结论和指标分数。</w:t>
      </w:r>
    </w:p>
    <w:p w14:paraId="23411B29">
      <w:pPr>
        <w:spacing w:line="600" w:lineRule="exact"/>
        <w:rPr>
          <w:rFonts w:ascii="仿宋" w:hAnsi="仿宋" w:eastAsia="仿宋" w:cs="仿宋"/>
          <w:kern w:val="0"/>
          <w:sz w:val="32"/>
          <w:szCs w:val="32"/>
        </w:rPr>
      </w:pPr>
    </w:p>
    <w:p w14:paraId="72203934">
      <w:pPr>
        <w:spacing w:line="600" w:lineRule="exact"/>
        <w:ind w:left="1598" w:leftChars="304" w:hanging="960" w:hangingChars="300"/>
        <w:outlineLvl w:val="0"/>
        <w:rPr>
          <w:rFonts w:ascii="仿宋" w:hAnsi="仿宋" w:eastAsia="仿宋" w:cs="仿宋"/>
          <w:kern w:val="0"/>
          <w:sz w:val="32"/>
          <w:szCs w:val="32"/>
        </w:rPr>
      </w:pPr>
      <w:bookmarkStart w:id="79" w:name="_Toc30805"/>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件1：</w:t>
      </w:r>
      <w:r>
        <w:rPr>
          <w:rFonts w:hint="eastAsia" w:ascii="仿宋" w:hAnsi="仿宋" w:eastAsia="仿宋" w:cs="仿宋"/>
          <w:kern w:val="0"/>
          <w:sz w:val="32"/>
          <w:szCs w:val="32"/>
        </w:rPr>
        <w:t>项目绩效评价指标体系打分表</w:t>
      </w:r>
      <w:bookmarkEnd w:id="79"/>
    </w:p>
    <w:bookmarkEnd w:id="61"/>
    <w:bookmarkEnd w:id="62"/>
    <w:bookmarkEnd w:id="63"/>
    <w:bookmarkEnd w:id="64"/>
    <w:bookmarkEnd w:id="65"/>
    <w:bookmarkEnd w:id="66"/>
    <w:bookmarkEnd w:id="67"/>
    <w:bookmarkEnd w:id="68"/>
    <w:p w14:paraId="38BBF838">
      <w:pPr>
        <w:spacing w:line="360" w:lineRule="auto"/>
        <w:rPr>
          <w:rFonts w:ascii="仿宋" w:hAnsi="仿宋" w:eastAsia="仿宋" w:cs="仿宋"/>
          <w:bCs/>
          <w:kern w:val="0"/>
          <w:sz w:val="32"/>
          <w:szCs w:val="32"/>
        </w:rPr>
      </w:pPr>
    </w:p>
    <w:p w14:paraId="1862DA6D">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6C3A7D71">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5"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0DC1CF15">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0CC363EE">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智慧交通信息化建设工作经费绩效评价指标体系打分表</w:t>
      </w:r>
    </w:p>
    <w:tbl>
      <w:tblPr>
        <w:tblStyle w:val="13"/>
        <w:tblW w:w="13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656"/>
        <w:gridCol w:w="679"/>
        <w:gridCol w:w="656"/>
        <w:gridCol w:w="1129"/>
        <w:gridCol w:w="656"/>
        <w:gridCol w:w="720"/>
        <w:gridCol w:w="5402"/>
        <w:gridCol w:w="1365"/>
        <w:gridCol w:w="825"/>
        <w:gridCol w:w="1215"/>
      </w:tblGrid>
      <w:tr w14:paraId="60CE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3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54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1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2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4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D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07A1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D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E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B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A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8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3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6AE5">
            <w:pPr>
              <w:jc w:val="center"/>
              <w:rPr>
                <w:rFonts w:hint="eastAsia" w:ascii="宋体" w:hAnsi="宋体" w:eastAsia="宋体" w:cs="宋体"/>
                <w:i w:val="0"/>
                <w:iCs w:val="0"/>
                <w:color w:val="000000"/>
                <w:sz w:val="22"/>
                <w:szCs w:val="22"/>
                <w:u w:val="none"/>
              </w:rPr>
            </w:pPr>
          </w:p>
        </w:tc>
        <w:tc>
          <w:tcPr>
            <w:tcW w:w="54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361">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BEF5">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ED39">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9475">
            <w:pPr>
              <w:jc w:val="center"/>
              <w:rPr>
                <w:rFonts w:hint="eastAsia" w:ascii="宋体" w:hAnsi="宋体" w:eastAsia="宋体" w:cs="宋体"/>
                <w:i w:val="0"/>
                <w:iCs w:val="0"/>
                <w:color w:val="000000"/>
                <w:sz w:val="22"/>
                <w:szCs w:val="22"/>
                <w:u w:val="none"/>
              </w:rPr>
            </w:pPr>
          </w:p>
        </w:tc>
      </w:tr>
      <w:tr w14:paraId="57E9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21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E0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A3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0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93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75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8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7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B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E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DF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2513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2D0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D2B9">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70B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95D0">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F974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6C4F2">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E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F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6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0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F2763">
            <w:pPr>
              <w:jc w:val="center"/>
              <w:rPr>
                <w:rFonts w:hint="eastAsia" w:ascii="宋体" w:hAnsi="宋体" w:eastAsia="宋体" w:cs="宋体"/>
                <w:i w:val="0"/>
                <w:iCs w:val="0"/>
                <w:color w:val="000000"/>
                <w:sz w:val="22"/>
                <w:szCs w:val="22"/>
                <w:u w:val="none"/>
              </w:rPr>
            </w:pPr>
          </w:p>
        </w:tc>
      </w:tr>
      <w:tr w14:paraId="533E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538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5D48">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8D8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8A35">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E05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47D9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1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7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1D88">
            <w:pPr>
              <w:jc w:val="center"/>
              <w:rPr>
                <w:rFonts w:hint="eastAsia" w:ascii="宋体" w:hAnsi="宋体" w:eastAsia="宋体" w:cs="宋体"/>
                <w:i w:val="0"/>
                <w:iCs w:val="0"/>
                <w:color w:val="000000"/>
                <w:sz w:val="22"/>
                <w:szCs w:val="22"/>
                <w:u w:val="none"/>
              </w:rPr>
            </w:pPr>
          </w:p>
        </w:tc>
      </w:tr>
      <w:tr w14:paraId="7D77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3DDB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0F167">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750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5BCC">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494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890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2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A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3A00">
            <w:pPr>
              <w:jc w:val="center"/>
              <w:rPr>
                <w:rFonts w:hint="eastAsia" w:ascii="宋体" w:hAnsi="宋体" w:eastAsia="宋体" w:cs="宋体"/>
                <w:i w:val="0"/>
                <w:iCs w:val="0"/>
                <w:color w:val="000000"/>
                <w:sz w:val="22"/>
                <w:szCs w:val="22"/>
                <w:u w:val="none"/>
              </w:rPr>
            </w:pPr>
          </w:p>
        </w:tc>
      </w:tr>
      <w:tr w14:paraId="2ADF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3E88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4F9E1">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B1A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0D33">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51B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6C82">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3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4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4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AF8D">
            <w:pPr>
              <w:jc w:val="center"/>
              <w:rPr>
                <w:rFonts w:hint="eastAsia" w:ascii="宋体" w:hAnsi="宋体" w:eastAsia="宋体" w:cs="宋体"/>
                <w:i w:val="0"/>
                <w:iCs w:val="0"/>
                <w:color w:val="000000"/>
                <w:sz w:val="22"/>
                <w:szCs w:val="22"/>
                <w:u w:val="none"/>
              </w:rPr>
            </w:pPr>
          </w:p>
        </w:tc>
      </w:tr>
      <w:tr w14:paraId="77D5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8674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BFA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A046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2C17B">
            <w:pPr>
              <w:jc w:val="center"/>
              <w:rPr>
                <w:rFonts w:hint="eastAsia" w:ascii="宋体" w:hAnsi="宋体" w:eastAsia="宋体" w:cs="宋体"/>
                <w:i w:val="0"/>
                <w:iCs w:val="0"/>
                <w:color w:val="000000"/>
                <w:sz w:val="22"/>
                <w:szCs w:val="22"/>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57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2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F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8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F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D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B0049">
            <w:pPr>
              <w:jc w:val="center"/>
              <w:rPr>
                <w:rFonts w:hint="eastAsia" w:ascii="宋体" w:hAnsi="宋体" w:eastAsia="宋体" w:cs="宋体"/>
                <w:i w:val="0"/>
                <w:iCs w:val="0"/>
                <w:color w:val="000000"/>
                <w:sz w:val="22"/>
                <w:szCs w:val="22"/>
                <w:u w:val="none"/>
              </w:rPr>
            </w:pPr>
          </w:p>
        </w:tc>
      </w:tr>
      <w:tr w14:paraId="376C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DBF1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EBC9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42D4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B82D">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29AB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BBB9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6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4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2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70FD">
            <w:pPr>
              <w:jc w:val="center"/>
              <w:rPr>
                <w:rFonts w:hint="eastAsia" w:ascii="宋体" w:hAnsi="宋体" w:eastAsia="宋体" w:cs="宋体"/>
                <w:i w:val="0"/>
                <w:iCs w:val="0"/>
                <w:color w:val="000000"/>
                <w:sz w:val="22"/>
                <w:szCs w:val="22"/>
                <w:u w:val="none"/>
              </w:rPr>
            </w:pPr>
          </w:p>
        </w:tc>
      </w:tr>
      <w:tr w14:paraId="61E7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103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047B">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293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5A7CF">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235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50BD">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D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9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A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7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3446">
            <w:pPr>
              <w:jc w:val="center"/>
              <w:rPr>
                <w:rFonts w:hint="eastAsia" w:ascii="宋体" w:hAnsi="宋体" w:eastAsia="宋体" w:cs="宋体"/>
                <w:i w:val="0"/>
                <w:iCs w:val="0"/>
                <w:color w:val="000000"/>
                <w:sz w:val="22"/>
                <w:szCs w:val="22"/>
                <w:u w:val="none"/>
              </w:rPr>
            </w:pPr>
          </w:p>
        </w:tc>
      </w:tr>
      <w:tr w14:paraId="2AA3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F66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C637">
            <w:pPr>
              <w:jc w:val="center"/>
              <w:rPr>
                <w:rFonts w:hint="eastAsia" w:ascii="宋体" w:hAnsi="宋体" w:eastAsia="宋体" w:cs="宋体"/>
                <w:i w:val="0"/>
                <w:iCs w:val="0"/>
                <w:color w:val="000000"/>
                <w:sz w:val="22"/>
                <w:szCs w:val="22"/>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DA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7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4E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9D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D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E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D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59D2E">
            <w:pPr>
              <w:jc w:val="center"/>
              <w:rPr>
                <w:rFonts w:hint="eastAsia" w:ascii="宋体" w:hAnsi="宋体" w:eastAsia="宋体" w:cs="宋体"/>
                <w:i w:val="0"/>
                <w:iCs w:val="0"/>
                <w:color w:val="000000"/>
                <w:sz w:val="22"/>
                <w:szCs w:val="22"/>
                <w:u w:val="none"/>
              </w:rPr>
            </w:pPr>
          </w:p>
        </w:tc>
      </w:tr>
      <w:tr w14:paraId="29F9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45B3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92442">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D7A0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2F6A">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D67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DAF1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3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9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B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FFDFA">
            <w:pPr>
              <w:jc w:val="center"/>
              <w:rPr>
                <w:rFonts w:hint="eastAsia" w:ascii="宋体" w:hAnsi="宋体" w:eastAsia="宋体" w:cs="宋体"/>
                <w:i w:val="0"/>
                <w:iCs w:val="0"/>
                <w:color w:val="000000"/>
                <w:sz w:val="22"/>
                <w:szCs w:val="22"/>
                <w:u w:val="none"/>
              </w:rPr>
            </w:pPr>
          </w:p>
        </w:tc>
      </w:tr>
      <w:tr w14:paraId="52D9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032E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C91E">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91B1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69B9">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FDC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B94F5">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E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9F33">
            <w:pPr>
              <w:jc w:val="center"/>
              <w:rPr>
                <w:rFonts w:hint="eastAsia" w:ascii="宋体" w:hAnsi="宋体" w:eastAsia="宋体" w:cs="宋体"/>
                <w:i w:val="0"/>
                <w:iCs w:val="0"/>
                <w:color w:val="000000"/>
                <w:sz w:val="22"/>
                <w:szCs w:val="22"/>
                <w:u w:val="none"/>
              </w:rPr>
            </w:pPr>
          </w:p>
        </w:tc>
      </w:tr>
      <w:tr w14:paraId="6A91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99E3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4E7D">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E81B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CCD2">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CD2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D1D3D">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4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6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3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DB121">
            <w:pPr>
              <w:jc w:val="center"/>
              <w:rPr>
                <w:rFonts w:hint="eastAsia" w:ascii="宋体" w:hAnsi="宋体" w:eastAsia="宋体" w:cs="宋体"/>
                <w:i w:val="0"/>
                <w:iCs w:val="0"/>
                <w:color w:val="000000"/>
                <w:sz w:val="22"/>
                <w:szCs w:val="22"/>
                <w:u w:val="none"/>
              </w:rPr>
            </w:pPr>
          </w:p>
        </w:tc>
      </w:tr>
      <w:tr w14:paraId="6ECF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C01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8847F">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7948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E3D91">
            <w:pPr>
              <w:jc w:val="center"/>
              <w:rPr>
                <w:rFonts w:hint="eastAsia" w:ascii="宋体" w:hAnsi="宋体" w:eastAsia="宋体" w:cs="宋体"/>
                <w:i w:val="0"/>
                <w:iCs w:val="0"/>
                <w:color w:val="000000"/>
                <w:sz w:val="22"/>
                <w:szCs w:val="22"/>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1D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BF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D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E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1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5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8357">
            <w:pPr>
              <w:jc w:val="center"/>
              <w:rPr>
                <w:rFonts w:hint="eastAsia" w:ascii="宋体" w:hAnsi="宋体" w:eastAsia="宋体" w:cs="宋体"/>
                <w:i w:val="0"/>
                <w:iCs w:val="0"/>
                <w:color w:val="000000"/>
                <w:sz w:val="22"/>
                <w:szCs w:val="22"/>
                <w:u w:val="none"/>
              </w:rPr>
            </w:pPr>
          </w:p>
        </w:tc>
      </w:tr>
      <w:tr w14:paraId="4B3D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094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28B90">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6C6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6631">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28E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8FC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4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E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2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4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33C2">
            <w:pPr>
              <w:jc w:val="center"/>
              <w:rPr>
                <w:rFonts w:hint="eastAsia" w:ascii="宋体" w:hAnsi="宋体" w:eastAsia="宋体" w:cs="宋体"/>
                <w:i w:val="0"/>
                <w:iCs w:val="0"/>
                <w:color w:val="000000"/>
                <w:sz w:val="22"/>
                <w:szCs w:val="22"/>
                <w:u w:val="none"/>
              </w:rPr>
            </w:pPr>
          </w:p>
        </w:tc>
      </w:tr>
      <w:tr w14:paraId="7A1A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B51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D0D3">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A9B3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FE124">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B89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5123">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5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3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B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CCC7">
            <w:pPr>
              <w:jc w:val="center"/>
              <w:rPr>
                <w:rFonts w:hint="eastAsia" w:ascii="宋体" w:hAnsi="宋体" w:eastAsia="宋体" w:cs="宋体"/>
                <w:i w:val="0"/>
                <w:iCs w:val="0"/>
                <w:color w:val="000000"/>
                <w:sz w:val="22"/>
                <w:szCs w:val="22"/>
                <w:u w:val="none"/>
              </w:rPr>
            </w:pPr>
          </w:p>
        </w:tc>
      </w:tr>
      <w:tr w14:paraId="6B20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5C37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8791">
            <w:pPr>
              <w:jc w:val="center"/>
              <w:rPr>
                <w:rFonts w:hint="eastAsia" w:ascii="宋体" w:hAnsi="宋体" w:eastAsia="宋体" w:cs="宋体"/>
                <w:i w:val="0"/>
                <w:iCs w:val="0"/>
                <w:color w:val="000000"/>
                <w:sz w:val="22"/>
                <w:szCs w:val="22"/>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93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1F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69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3E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E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F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6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AB03">
            <w:pPr>
              <w:jc w:val="center"/>
              <w:rPr>
                <w:rFonts w:hint="eastAsia" w:ascii="宋体" w:hAnsi="宋体" w:eastAsia="宋体" w:cs="宋体"/>
                <w:i w:val="0"/>
                <w:iCs w:val="0"/>
                <w:color w:val="000000"/>
                <w:sz w:val="22"/>
                <w:szCs w:val="22"/>
                <w:u w:val="none"/>
              </w:rPr>
            </w:pPr>
          </w:p>
        </w:tc>
      </w:tr>
      <w:tr w14:paraId="0AC7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F3F3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AE94">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97B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FE853">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035E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C44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5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8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3387F">
            <w:pPr>
              <w:jc w:val="center"/>
              <w:rPr>
                <w:rFonts w:hint="eastAsia" w:ascii="宋体" w:hAnsi="宋体" w:eastAsia="宋体" w:cs="宋体"/>
                <w:i w:val="0"/>
                <w:iCs w:val="0"/>
                <w:color w:val="000000"/>
                <w:sz w:val="22"/>
                <w:szCs w:val="22"/>
                <w:u w:val="none"/>
              </w:rPr>
            </w:pPr>
          </w:p>
        </w:tc>
      </w:tr>
      <w:tr w14:paraId="5687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4CD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6ED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4BF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D4E39">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3BE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E6F5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4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E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0B27">
            <w:pPr>
              <w:jc w:val="center"/>
              <w:rPr>
                <w:rFonts w:hint="eastAsia" w:ascii="宋体" w:hAnsi="宋体" w:eastAsia="宋体" w:cs="宋体"/>
                <w:i w:val="0"/>
                <w:iCs w:val="0"/>
                <w:color w:val="000000"/>
                <w:sz w:val="22"/>
                <w:szCs w:val="22"/>
                <w:u w:val="none"/>
              </w:rPr>
            </w:pPr>
          </w:p>
        </w:tc>
      </w:tr>
      <w:tr w14:paraId="162E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27A1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3D46">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9470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7D84">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7D9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465D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1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3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9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8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F763E">
            <w:pPr>
              <w:jc w:val="center"/>
              <w:rPr>
                <w:rFonts w:hint="eastAsia" w:ascii="宋体" w:hAnsi="宋体" w:eastAsia="宋体" w:cs="宋体"/>
                <w:i w:val="0"/>
                <w:iCs w:val="0"/>
                <w:color w:val="000000"/>
                <w:sz w:val="22"/>
                <w:szCs w:val="22"/>
                <w:u w:val="none"/>
              </w:rPr>
            </w:pPr>
          </w:p>
        </w:tc>
      </w:tr>
      <w:tr w14:paraId="1CE4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D1B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AE8E4">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E81C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760C">
            <w:pPr>
              <w:jc w:val="center"/>
              <w:rPr>
                <w:rFonts w:hint="eastAsia" w:ascii="宋体" w:hAnsi="宋体" w:eastAsia="宋体" w:cs="宋体"/>
                <w:i w:val="0"/>
                <w:iCs w:val="0"/>
                <w:color w:val="000000"/>
                <w:sz w:val="22"/>
                <w:szCs w:val="22"/>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F6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5F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4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F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D54C">
            <w:pPr>
              <w:jc w:val="center"/>
              <w:rPr>
                <w:rFonts w:hint="eastAsia" w:ascii="宋体" w:hAnsi="宋体" w:eastAsia="宋体" w:cs="宋体"/>
                <w:i w:val="0"/>
                <w:iCs w:val="0"/>
                <w:color w:val="000000"/>
                <w:sz w:val="22"/>
                <w:szCs w:val="22"/>
                <w:u w:val="none"/>
              </w:rPr>
            </w:pPr>
          </w:p>
        </w:tc>
      </w:tr>
      <w:tr w14:paraId="5402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A55F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85A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A406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3D3BD">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410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EBB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2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B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A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C2F4">
            <w:pPr>
              <w:jc w:val="center"/>
              <w:rPr>
                <w:rFonts w:hint="eastAsia" w:ascii="宋体" w:hAnsi="宋体" w:eastAsia="宋体" w:cs="宋体"/>
                <w:i w:val="0"/>
                <w:iCs w:val="0"/>
                <w:color w:val="000000"/>
                <w:sz w:val="22"/>
                <w:szCs w:val="22"/>
                <w:u w:val="none"/>
              </w:rPr>
            </w:pPr>
          </w:p>
        </w:tc>
      </w:tr>
      <w:tr w14:paraId="1E9A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92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E3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0B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5C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0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7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8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D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6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D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14:paraId="54BC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37D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638A">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01F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DA64">
            <w:pPr>
              <w:jc w:val="center"/>
              <w:rPr>
                <w:rFonts w:hint="eastAsia" w:ascii="宋体" w:hAnsi="宋体" w:eastAsia="宋体" w:cs="宋体"/>
                <w:i w:val="0"/>
                <w:iCs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1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B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4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0418">
            <w:pPr>
              <w:jc w:val="center"/>
              <w:rPr>
                <w:rFonts w:hint="eastAsia" w:ascii="宋体" w:hAnsi="宋体" w:eastAsia="宋体" w:cs="宋体"/>
                <w:i w:val="0"/>
                <w:iCs w:val="0"/>
                <w:color w:val="000000"/>
                <w:sz w:val="22"/>
                <w:szCs w:val="22"/>
                <w:u w:val="none"/>
              </w:rPr>
            </w:pPr>
          </w:p>
        </w:tc>
      </w:tr>
      <w:tr w14:paraId="34F0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0AA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D5B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35F9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954D">
            <w:pPr>
              <w:jc w:val="center"/>
              <w:rPr>
                <w:rFonts w:hint="eastAsia" w:ascii="宋体" w:hAnsi="宋体" w:eastAsia="宋体" w:cs="宋体"/>
                <w:i w:val="0"/>
                <w:iCs w:val="0"/>
                <w:color w:val="000000"/>
                <w:sz w:val="22"/>
                <w:szCs w:val="22"/>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A2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83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8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3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0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F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9FB1">
            <w:pPr>
              <w:jc w:val="center"/>
              <w:rPr>
                <w:rFonts w:hint="eastAsia" w:ascii="宋体" w:hAnsi="宋体" w:eastAsia="宋体" w:cs="宋体"/>
                <w:i w:val="0"/>
                <w:iCs w:val="0"/>
                <w:color w:val="000000"/>
                <w:sz w:val="22"/>
                <w:szCs w:val="22"/>
                <w:u w:val="none"/>
              </w:rPr>
            </w:pPr>
          </w:p>
        </w:tc>
      </w:tr>
      <w:tr w14:paraId="6C67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BE8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0DF3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7824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107EB">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F803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0287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1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7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E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6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7030">
            <w:pPr>
              <w:jc w:val="center"/>
              <w:rPr>
                <w:rFonts w:hint="eastAsia" w:ascii="宋体" w:hAnsi="宋体" w:eastAsia="宋体" w:cs="宋体"/>
                <w:i w:val="0"/>
                <w:iCs w:val="0"/>
                <w:color w:val="000000"/>
                <w:sz w:val="22"/>
                <w:szCs w:val="22"/>
                <w:u w:val="none"/>
              </w:rPr>
            </w:pPr>
          </w:p>
        </w:tc>
      </w:tr>
      <w:tr w14:paraId="4BF2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116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77BE">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152B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6B9C3">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72C2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A902">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5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A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D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DB5CE">
            <w:pPr>
              <w:jc w:val="center"/>
              <w:rPr>
                <w:rFonts w:hint="eastAsia" w:ascii="宋体" w:hAnsi="宋体" w:eastAsia="宋体" w:cs="宋体"/>
                <w:i w:val="0"/>
                <w:iCs w:val="0"/>
                <w:color w:val="000000"/>
                <w:sz w:val="22"/>
                <w:szCs w:val="22"/>
                <w:u w:val="none"/>
              </w:rPr>
            </w:pPr>
          </w:p>
        </w:tc>
      </w:tr>
      <w:tr w14:paraId="3F56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2D3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5BBFF">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50A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EE2E">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705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19C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C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8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1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0655">
            <w:pPr>
              <w:jc w:val="center"/>
              <w:rPr>
                <w:rFonts w:hint="eastAsia" w:ascii="宋体" w:hAnsi="宋体" w:eastAsia="宋体" w:cs="宋体"/>
                <w:i w:val="0"/>
                <w:iCs w:val="0"/>
                <w:color w:val="000000"/>
                <w:sz w:val="22"/>
                <w:szCs w:val="22"/>
                <w:u w:val="none"/>
              </w:rPr>
            </w:pPr>
          </w:p>
        </w:tc>
      </w:tr>
      <w:tr w14:paraId="0008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1CC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B2002">
            <w:pPr>
              <w:jc w:val="center"/>
              <w:rPr>
                <w:rFonts w:hint="eastAsia" w:ascii="宋体" w:hAnsi="宋体" w:eastAsia="宋体" w:cs="宋体"/>
                <w:i w:val="0"/>
                <w:iCs w:val="0"/>
                <w:color w:val="000000"/>
                <w:sz w:val="22"/>
                <w:szCs w:val="22"/>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F4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99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06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25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4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7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0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2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66282">
            <w:pPr>
              <w:jc w:val="center"/>
              <w:rPr>
                <w:rFonts w:hint="eastAsia" w:ascii="宋体" w:hAnsi="宋体" w:eastAsia="宋体" w:cs="宋体"/>
                <w:i w:val="0"/>
                <w:iCs w:val="0"/>
                <w:color w:val="000000"/>
                <w:sz w:val="22"/>
                <w:szCs w:val="22"/>
                <w:u w:val="none"/>
              </w:rPr>
            </w:pPr>
          </w:p>
        </w:tc>
      </w:tr>
      <w:tr w14:paraId="3FAB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E01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CCAC">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B36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16991">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ABF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E2C5">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1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9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616D">
            <w:pPr>
              <w:jc w:val="center"/>
              <w:rPr>
                <w:rFonts w:hint="eastAsia" w:ascii="宋体" w:hAnsi="宋体" w:eastAsia="宋体" w:cs="宋体"/>
                <w:i w:val="0"/>
                <w:iCs w:val="0"/>
                <w:color w:val="000000"/>
                <w:sz w:val="22"/>
                <w:szCs w:val="22"/>
                <w:u w:val="none"/>
              </w:rPr>
            </w:pPr>
          </w:p>
        </w:tc>
      </w:tr>
      <w:tr w14:paraId="599E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2993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0AE3">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6ECA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CEE8">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E55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BB22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E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7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3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679E3">
            <w:pPr>
              <w:jc w:val="center"/>
              <w:rPr>
                <w:rFonts w:hint="eastAsia" w:ascii="宋体" w:hAnsi="宋体" w:eastAsia="宋体" w:cs="宋体"/>
                <w:i w:val="0"/>
                <w:iCs w:val="0"/>
                <w:color w:val="000000"/>
                <w:sz w:val="22"/>
                <w:szCs w:val="22"/>
                <w:u w:val="none"/>
              </w:rPr>
            </w:pPr>
          </w:p>
        </w:tc>
      </w:tr>
      <w:tr w14:paraId="1C5C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720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6B59">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7724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6A2F">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52E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FDB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3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4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3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6BA3">
            <w:pPr>
              <w:jc w:val="center"/>
              <w:rPr>
                <w:rFonts w:hint="eastAsia" w:ascii="宋体" w:hAnsi="宋体" w:eastAsia="宋体" w:cs="宋体"/>
                <w:i w:val="0"/>
                <w:iCs w:val="0"/>
                <w:color w:val="000000"/>
                <w:sz w:val="22"/>
                <w:szCs w:val="22"/>
                <w:u w:val="none"/>
              </w:rPr>
            </w:pPr>
          </w:p>
        </w:tc>
      </w:tr>
      <w:tr w14:paraId="475C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B5F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852A8">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C3D3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DADC">
            <w:pPr>
              <w:jc w:val="center"/>
              <w:rPr>
                <w:rFonts w:hint="eastAsia" w:ascii="宋体" w:hAnsi="宋体" w:eastAsia="宋体" w:cs="宋体"/>
                <w:i w:val="0"/>
                <w:iCs w:val="0"/>
                <w:color w:val="000000"/>
                <w:sz w:val="22"/>
                <w:szCs w:val="22"/>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E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B8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B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1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82E7">
            <w:pPr>
              <w:jc w:val="center"/>
              <w:rPr>
                <w:rFonts w:hint="eastAsia" w:ascii="宋体" w:hAnsi="宋体" w:eastAsia="宋体" w:cs="宋体"/>
                <w:i w:val="0"/>
                <w:iCs w:val="0"/>
                <w:color w:val="000000"/>
                <w:sz w:val="22"/>
                <w:szCs w:val="22"/>
                <w:u w:val="none"/>
              </w:rPr>
            </w:pPr>
          </w:p>
        </w:tc>
      </w:tr>
      <w:tr w14:paraId="33BB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E60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1590">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9A6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5D22">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B63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6B5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2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7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F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8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CDC5F">
            <w:pPr>
              <w:jc w:val="center"/>
              <w:rPr>
                <w:rFonts w:hint="eastAsia" w:ascii="宋体" w:hAnsi="宋体" w:eastAsia="宋体" w:cs="宋体"/>
                <w:i w:val="0"/>
                <w:iCs w:val="0"/>
                <w:color w:val="000000"/>
                <w:sz w:val="22"/>
                <w:szCs w:val="22"/>
                <w:u w:val="none"/>
              </w:rPr>
            </w:pPr>
          </w:p>
        </w:tc>
      </w:tr>
      <w:tr w14:paraId="7F26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CDD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7D2F5">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AEC6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51874">
            <w:pPr>
              <w:jc w:val="center"/>
              <w:rPr>
                <w:rFonts w:hint="eastAsia" w:ascii="宋体" w:hAnsi="宋体" w:eastAsia="宋体" w:cs="宋体"/>
                <w:i w:val="0"/>
                <w:iCs w:val="0"/>
                <w:color w:val="000000"/>
                <w:sz w:val="22"/>
                <w:szCs w:val="22"/>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1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5D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A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3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4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自评表未打分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F77A">
            <w:pPr>
              <w:jc w:val="center"/>
              <w:rPr>
                <w:rFonts w:hint="eastAsia" w:ascii="宋体" w:hAnsi="宋体" w:eastAsia="宋体" w:cs="宋体"/>
                <w:i w:val="0"/>
                <w:iCs w:val="0"/>
                <w:color w:val="000000"/>
                <w:sz w:val="22"/>
                <w:szCs w:val="22"/>
                <w:u w:val="none"/>
              </w:rPr>
            </w:pPr>
          </w:p>
        </w:tc>
      </w:tr>
      <w:tr w14:paraId="29F7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FA6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B06B">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255C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4A85">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985B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889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内容不翔实</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A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CB37">
            <w:pPr>
              <w:jc w:val="center"/>
              <w:rPr>
                <w:rFonts w:hint="eastAsia" w:ascii="宋体" w:hAnsi="宋体" w:eastAsia="宋体" w:cs="宋体"/>
                <w:i w:val="0"/>
                <w:iCs w:val="0"/>
                <w:color w:val="000000"/>
                <w:sz w:val="22"/>
                <w:szCs w:val="22"/>
                <w:u w:val="none"/>
              </w:rPr>
            </w:pPr>
          </w:p>
        </w:tc>
      </w:tr>
      <w:tr w14:paraId="0128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9F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BA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7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0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智慧交通信息化建设工作经费实际完成率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A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F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2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在指挥中心、信息化平台、平交路口、弯道和坡道等安全隐患处安装高清视频监控，实际完成率：按照{已完成工作进度}/{计划工作进度}*100%得出指标值，按照（指标值-（60%））/（（100%）-（60%））× 赋分值得分。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8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6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C8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4C31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E01D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58C3B">
            <w:pPr>
              <w:jc w:val="center"/>
              <w:rPr>
                <w:rFonts w:hint="eastAsia" w:ascii="宋体" w:hAnsi="宋体" w:eastAsia="宋体" w:cs="宋体"/>
                <w:i w:val="0"/>
                <w:iCs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8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智慧交通信息化建设工作经费质量合格率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B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9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在指挥中心、信息化平台、平交路口、弯道和坡道等安全隐患处安装高清视频监控，质量达标率：按照{经费项目质量达标项目数}/1*100%得出指标值，按照（指标值-（60%））/（（100%）-（60%））× 赋分值得分。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9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9A42">
            <w:pPr>
              <w:jc w:val="center"/>
              <w:rPr>
                <w:rFonts w:hint="eastAsia" w:ascii="宋体" w:hAnsi="宋体" w:eastAsia="宋体" w:cs="宋体"/>
                <w:i w:val="0"/>
                <w:iCs w:val="0"/>
                <w:color w:val="000000"/>
                <w:sz w:val="22"/>
                <w:szCs w:val="22"/>
                <w:u w:val="none"/>
              </w:rPr>
            </w:pPr>
          </w:p>
        </w:tc>
      </w:tr>
      <w:tr w14:paraId="5C5A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6E6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A6C1">
            <w:pPr>
              <w:jc w:val="center"/>
              <w:rPr>
                <w:rFonts w:hint="eastAsia" w:ascii="宋体" w:hAnsi="宋体" w:eastAsia="宋体" w:cs="宋体"/>
                <w:i w:val="0"/>
                <w:iCs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8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2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智慧交通信息化建设工作经费完成及时率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F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C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在指挥中心、信息化平台、平交路口、弯道和坡道等安全隐患处安装高清视频监控，完成及时率：按照{已完成工作进度}/{计划工作进度}*100%得出指标值，按照（指标值-（60%））/（（100%）-（60%））× 赋分值得分。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A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5718">
            <w:pPr>
              <w:jc w:val="center"/>
              <w:rPr>
                <w:rFonts w:hint="eastAsia" w:ascii="宋体" w:hAnsi="宋体" w:eastAsia="宋体" w:cs="宋体"/>
                <w:i w:val="0"/>
                <w:iCs w:val="0"/>
                <w:color w:val="000000"/>
                <w:sz w:val="22"/>
                <w:szCs w:val="22"/>
                <w:u w:val="none"/>
              </w:rPr>
            </w:pPr>
          </w:p>
        </w:tc>
      </w:tr>
      <w:tr w14:paraId="3364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9830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9498">
            <w:pPr>
              <w:jc w:val="center"/>
              <w:rPr>
                <w:rFonts w:hint="eastAsia" w:ascii="宋体" w:hAnsi="宋体" w:eastAsia="宋体" w:cs="宋体"/>
                <w:i w:val="0"/>
                <w:iCs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E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智慧交通信息化建设工作经费成本节约率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F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5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指挥中心、信息化平台、平交路口、弯道和坡道等安全隐患处安装高清视频监控，成本节约率：按照({经费项目计划支出}-{经费项目预计支出})/{经费项目计划支出}*100%得出指标值，按照（指标值-（-10%））/（（0%）-（-10%））× 赋分值得分。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C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C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4FCF">
            <w:pPr>
              <w:jc w:val="center"/>
              <w:rPr>
                <w:rFonts w:hint="eastAsia" w:ascii="宋体" w:hAnsi="宋体" w:eastAsia="宋体" w:cs="宋体"/>
                <w:i w:val="0"/>
                <w:iCs w:val="0"/>
                <w:color w:val="000000"/>
                <w:sz w:val="22"/>
                <w:szCs w:val="22"/>
                <w:u w:val="none"/>
              </w:rPr>
            </w:pPr>
          </w:p>
        </w:tc>
      </w:tr>
      <w:tr w14:paraId="7F6E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01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00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36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C0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53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提高运输效率，促进交通安全</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3F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A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6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交通流量进行实时监测和动态调控，缩短交通拥堵时间，减少交通事故，提高运输效率。：按照*&lt;计算公式&gt;*得出指标值，按照*&lt;得分公式&gt;*得分。达成目标得100%分，基本达成目标得75%分，部分实现目标得50%分，实现程度较低得25%分，实现程度低得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4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8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75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41C4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C08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0A0E2">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3AAD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680F4">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D6F7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546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A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交通出行体验，为出行者提供更精确的路况信息、实时公交信息和个性化导航服务，促进交通安全。：按照*&lt;计算公式&gt;*得出指标值，按照*&lt;得分公式&gt;*得分。达成目标得100%分，基本达成目标得75%分，部分实现目标得50%分，实现程度较低得25%分，实现程度低得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0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5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BD53">
            <w:pPr>
              <w:jc w:val="center"/>
              <w:rPr>
                <w:rFonts w:hint="eastAsia" w:ascii="宋体" w:hAnsi="宋体" w:eastAsia="宋体" w:cs="宋体"/>
                <w:i w:val="0"/>
                <w:iCs w:val="0"/>
                <w:color w:val="000000"/>
                <w:sz w:val="22"/>
                <w:szCs w:val="22"/>
                <w:u w:val="none"/>
              </w:rPr>
            </w:pPr>
          </w:p>
        </w:tc>
      </w:tr>
      <w:tr w14:paraId="62C3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A18D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B1072">
            <w:pPr>
              <w:jc w:val="center"/>
              <w:rPr>
                <w:rFonts w:hint="eastAsia" w:ascii="宋体" w:hAnsi="宋体" w:eastAsia="宋体" w:cs="宋体"/>
                <w:i w:val="0"/>
                <w:iCs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D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1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6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0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7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4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106F">
            <w:pPr>
              <w:jc w:val="center"/>
              <w:rPr>
                <w:rFonts w:hint="eastAsia" w:ascii="宋体" w:hAnsi="宋体" w:eastAsia="宋体" w:cs="宋体"/>
                <w:i w:val="0"/>
                <w:iCs w:val="0"/>
                <w:color w:val="000000"/>
                <w:sz w:val="22"/>
                <w:szCs w:val="22"/>
                <w:u w:val="none"/>
              </w:rPr>
            </w:pPr>
          </w:p>
        </w:tc>
      </w:tr>
      <w:tr w14:paraId="2881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7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9A98">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24DE">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8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EC2F">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49B7">
            <w:pP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E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B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14:paraId="690C0F7B">
      <w:pPr>
        <w:spacing w:line="600" w:lineRule="exact"/>
        <w:jc w:val="both"/>
        <w:rPr>
          <w:rFonts w:hint="default" w:ascii="仿宋" w:hAnsi="仿宋" w:eastAsia="仿宋" w:cs="仿宋"/>
          <w:b/>
          <w:bCs/>
          <w:kern w:val="0"/>
          <w:sz w:val="40"/>
          <w:szCs w:val="40"/>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7CDE64-5062-4313-88A1-18A12A8A49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846343D-25AE-4593-8287-AAECA5E7225E}"/>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5263AB8E-CA63-4BB7-AFEF-D7D66D4FCC64}"/>
  </w:font>
  <w:font w:name="楷体_GB2312">
    <w:panose1 w:val="02010609060101010101"/>
    <w:charset w:val="86"/>
    <w:family w:val="auto"/>
    <w:pitch w:val="default"/>
    <w:sig w:usb0="800002BF" w:usb1="38CF7CFA" w:usb2="00000016" w:usb3="00000000" w:csb0="00040001" w:csb1="00000000"/>
    <w:embedRegular r:id="rId4" w:fontKey="{ABC16BBA-2E64-4326-9BED-7D2B7EA9F6D7}"/>
  </w:font>
  <w:font w:name="方正小标宋_GBK">
    <w:panose1 w:val="02000000000000000000"/>
    <w:charset w:val="86"/>
    <w:family w:val="auto"/>
    <w:pitch w:val="default"/>
    <w:sig w:usb0="A00002BF" w:usb1="38CF7CFA" w:usb2="00082016" w:usb3="00000000" w:csb0="00040001" w:csb1="00000000"/>
    <w:embedRegular r:id="rId5" w:fontKey="{8ECAED34-B50C-4F41-97DD-F3EB82FA5C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7D3F6">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BCEF">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3A06">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8C2F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98C2F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2224FA1"/>
    <w:rsid w:val="08A81F66"/>
    <w:rsid w:val="0A315A9F"/>
    <w:rsid w:val="217301BA"/>
    <w:rsid w:val="294E3BF4"/>
    <w:rsid w:val="321F4CBF"/>
    <w:rsid w:val="36246DAA"/>
    <w:rsid w:val="38C2587C"/>
    <w:rsid w:val="43E1775F"/>
    <w:rsid w:val="43E17BAD"/>
    <w:rsid w:val="55277BF7"/>
    <w:rsid w:val="58306BFF"/>
    <w:rsid w:val="58A50DBE"/>
    <w:rsid w:val="59DD394D"/>
    <w:rsid w:val="628F653E"/>
    <w:rsid w:val="6AE1747F"/>
    <w:rsid w:val="716D33C3"/>
    <w:rsid w:val="73A274B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d42cee3d-945b-43b5-8b83-767204a0a292}">
  <ds:schemaRefs/>
</ds:datastoreItem>
</file>

<file path=customXml/itemProps4.xml><?xml version="1.0" encoding="utf-8"?>
<ds:datastoreItem xmlns:ds="http://schemas.openxmlformats.org/officeDocument/2006/customXml" ds:itemID="{5a441f98-4ebe-4467-98bf-0b0fe13dbb3f}">
  <ds:schemaRefs/>
</ds:datastoreItem>
</file>

<file path=customXml/itemProps5.xml><?xml version="1.0" encoding="utf-8"?>
<ds:datastoreItem xmlns:ds="http://schemas.openxmlformats.org/officeDocument/2006/customXml" ds:itemID="{9bb61bcd-6660-4cce-b29d-9d957fbdb226}">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10370</Words>
  <Characters>11246</Characters>
  <Lines>38</Lines>
  <Paragraphs>10</Paragraphs>
  <TotalTime>3</TotalTime>
  <ScaleCrop>false</ScaleCrop>
  <LinksUpToDate>false</LinksUpToDate>
  <CharactersWithSpaces>11333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2024-11-13T08:19:05Z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A851BA0D1AC84AD2B11FB8CD758137EF_13</vt:lpwstr>
  </property>
</Properties>
</file>